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134"/>
        <w:gridCol w:w="2127"/>
        <w:gridCol w:w="302"/>
        <w:gridCol w:w="1312"/>
        <w:gridCol w:w="1788"/>
        <w:gridCol w:w="407"/>
        <w:gridCol w:w="2927"/>
        <w:gridCol w:w="883"/>
      </w:tblGrid>
      <w:tr w:rsidR="00401428" w:rsidRPr="00401428" w:rsidTr="00401428">
        <w:trPr>
          <w:trHeight w:val="255"/>
        </w:trPr>
        <w:tc>
          <w:tcPr>
            <w:tcW w:w="113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Level</w:t>
            </w:r>
          </w:p>
        </w:tc>
        <w:tc>
          <w:tcPr>
            <w:tcW w:w="2127"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302"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3100"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Kabupaten Aceh Tenggara </w:t>
            </w:r>
          </w:p>
        </w:tc>
        <w:tc>
          <w:tcPr>
            <w:tcW w:w="407"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9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883"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3261"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Komponen</w:t>
            </w:r>
          </w:p>
        </w:tc>
        <w:tc>
          <w:tcPr>
            <w:tcW w:w="302"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3100"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B. Kapasitas Pemerintah</w:t>
            </w:r>
          </w:p>
        </w:tc>
        <w:tc>
          <w:tcPr>
            <w:tcW w:w="407"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9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883"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113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302"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1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788"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407"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9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883"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3563" w:type="dxa"/>
            <w:gridSpan w:val="3"/>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Isu dalam PGA REDD+</w:t>
            </w:r>
          </w:p>
        </w:tc>
        <w:tc>
          <w:tcPr>
            <w:tcW w:w="6434" w:type="dxa"/>
            <w:gridSpan w:val="4"/>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I. Perencanaan Kehutanan dan Tata Ruang </w:t>
            </w:r>
          </w:p>
        </w:tc>
        <w:tc>
          <w:tcPr>
            <w:tcW w:w="883"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300"/>
        </w:trPr>
        <w:tc>
          <w:tcPr>
            <w:tcW w:w="3261"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30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7317"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401428" w:rsidRPr="00401428" w:rsidTr="00401428">
        <w:trPr>
          <w:trHeight w:val="255"/>
        </w:trPr>
        <w:tc>
          <w:tcPr>
            <w:tcW w:w="3261"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30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6434" w:type="dxa"/>
            <w:gridSpan w:val="4"/>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883"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714"/>
        <w:gridCol w:w="1111"/>
        <w:gridCol w:w="1591"/>
        <w:gridCol w:w="1125"/>
        <w:gridCol w:w="1696"/>
        <w:gridCol w:w="1139"/>
        <w:gridCol w:w="2127"/>
        <w:gridCol w:w="1382"/>
      </w:tblGrid>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255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BIa1</w:t>
            </w:r>
          </w:p>
        </w:tc>
        <w:tc>
          <w:tcPr>
            <w:tcW w:w="1111" w:type="dxa"/>
            <w:vMerge w:val="restart"/>
            <w:tcBorders>
              <w:top w:val="nil"/>
              <w:left w:val="single" w:sz="4" w:space="0" w:color="auto"/>
              <w:bottom w:val="single" w:sz="4" w:space="0" w:color="000000"/>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Latar belakang Pendidikan formal </w:t>
            </w:r>
          </w:p>
        </w:tc>
        <w:tc>
          <w:tcPr>
            <w:tcW w:w="1591" w:type="dxa"/>
            <w:vMerge w:val="restart"/>
            <w:tcBorders>
              <w:top w:val="nil"/>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Data tidak didapatkan, saat wawancara dilakukan dokumen sedang diperbaharui. Tidak bersedia memberikan, karena belum final. </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Jumlah tenaga kepegawaian di dishutbun menurut informan cukup memadai (3). Menurut Azanuddin Kurnia, kepala Bidang Perenanaan Kehutanan Dishutbun Aceh Tenggara, memang beberapa orang di bidang perencanaan tidak memiliki kualifikasi yang khusus di bidang perencanaan. Tetapi karena dia (orang tersebut) juga diminta untuk menyelesaikan pekerjaan-pekerjaan perencanaan, lama kelamaan menjadi terlatih dan bisa, meskipun secara formal tidak memiliki kualifikasi di bidang perencanaan. Hasil pekerjaannya mendekati apa yang distandarkan oleh dinas.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1020"/>
        </w:trPr>
        <w:tc>
          <w:tcPr>
            <w:tcW w:w="714"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11"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PU</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Dokumen tidak didapatkan.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Latar belakang pendidikan formal cukup memadai, karena rekrutmennya ditentkan yang sarjana, meskipun ada juga yang kurang sesuai dengan kualifikasi pendidikan di bidang perencanaan.</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1275"/>
        </w:trPr>
        <w:tc>
          <w:tcPr>
            <w:tcW w:w="714"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11"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Bappeda</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Dokumen tidak didapatkan.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Tidak ada masalah yang tentang SDM yang ada Unit Perencana. Meski ada sedikit kekurangan, tapi selama ini masih tetap bisa berjalan. Ada yang kualifikasi pendidikannya tidak </w:t>
            </w:r>
            <w:r w:rsidRPr="00401428">
              <w:rPr>
                <w:rFonts w:ascii="Times New Roman" w:eastAsia="Times New Roman" w:hAnsi="Times New Roman" w:cs="Times New Roman"/>
                <w:color w:val="000000"/>
                <w:sz w:val="20"/>
                <w:szCs w:val="20"/>
                <w:lang w:eastAsia="id-ID"/>
              </w:rPr>
              <w:lastRenderedPageBreak/>
              <w:t>dari perencana, tapi pengalaman meraka yang lama itu juga menjadi kelebihan yang dimiliki</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3</w:t>
            </w:r>
          </w:p>
        </w:tc>
      </w:tr>
      <w:tr w:rsidR="00401428" w:rsidRPr="00401428" w:rsidTr="00401428">
        <w:trPr>
          <w:trHeight w:val="231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BIa2</w:t>
            </w:r>
          </w:p>
        </w:tc>
        <w:tc>
          <w:tcPr>
            <w:tcW w:w="1111" w:type="dxa"/>
            <w:vMerge w:val="restart"/>
            <w:tcBorders>
              <w:top w:val="nil"/>
              <w:left w:val="single" w:sz="4" w:space="0" w:color="auto"/>
              <w:bottom w:val="single" w:sz="4" w:space="0" w:color="000000"/>
              <w:right w:val="single" w:sz="4" w:space="0" w:color="auto"/>
            </w:tcBorders>
            <w:shd w:val="clear" w:color="auto" w:fill="auto"/>
            <w:vAlign w:val="center"/>
            <w:hideMark/>
          </w:tcPr>
          <w:p w:rsidR="00401428" w:rsidRPr="00401428" w:rsidRDefault="00401428" w:rsidP="00401428">
            <w:pPr>
              <w:spacing w:after="24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Lama waktu kerja sebagai perencana </w:t>
            </w:r>
          </w:p>
        </w:tc>
        <w:tc>
          <w:tcPr>
            <w:tcW w:w="1591" w:type="dxa"/>
            <w:vMerge w:val="restart"/>
            <w:tcBorders>
              <w:top w:val="nil"/>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Dokumen tidak didapatkan, saat wawancara dilakukan dokumen sedang diperbaharui. Tidak bersedia memberikan, karena belum final. Informasi hanya didapatkan secara lisan bahwa pengalaman kerja sudah lama, tapi latar belakang pendidikan tidak relevan. </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Lama waktu kerja di bidang perencanaan cukup memadai, karena sebagain orang yang ada di unit perencanaan merupakan orang-orang yang sudah ditugaskan di bidang tersebut minimal sekitar 3 tahun, bahkan ada sebagian diantaranya yang lebih dari empat atau lima tahun.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765"/>
        </w:trPr>
        <w:tc>
          <w:tcPr>
            <w:tcW w:w="714"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11"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PU</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Dokumen tidak didapatkan.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Ada yang masih baru, tetapi juga ada yang sudah senior yang membimbing kita dalam melakukan pekerjaan-pekerjaan di bidang perencanaan.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2</w:t>
            </w:r>
          </w:p>
        </w:tc>
      </w:tr>
      <w:tr w:rsidR="00401428" w:rsidRPr="00401428" w:rsidTr="00401428">
        <w:trPr>
          <w:trHeight w:val="765"/>
        </w:trPr>
        <w:tc>
          <w:tcPr>
            <w:tcW w:w="714"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11"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Bappeda</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Dokumen tidak didapatkan.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Ada yang baru dan ada yang sudah sudah lema kerja di sini, tetapi pada prinsipnya lama pengalaman kerja di Unit Perencana sudah cukup memadai</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280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BIa3</w:t>
            </w:r>
          </w:p>
        </w:tc>
        <w:tc>
          <w:tcPr>
            <w:tcW w:w="1111" w:type="dxa"/>
            <w:vMerge w:val="restart"/>
            <w:tcBorders>
              <w:top w:val="nil"/>
              <w:left w:val="single" w:sz="4" w:space="0" w:color="auto"/>
              <w:bottom w:val="single" w:sz="4" w:space="0" w:color="000000"/>
              <w:right w:val="single" w:sz="4" w:space="0" w:color="auto"/>
            </w:tcBorders>
            <w:shd w:val="clear" w:color="auto" w:fill="auto"/>
            <w:vAlign w:val="center"/>
            <w:hideMark/>
          </w:tcPr>
          <w:p w:rsidR="00401428" w:rsidRPr="00401428" w:rsidRDefault="00401428" w:rsidP="00401428">
            <w:pPr>
              <w:spacing w:after="24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Sertifikat perencanaan wilayah </w:t>
            </w:r>
          </w:p>
        </w:tc>
        <w:tc>
          <w:tcPr>
            <w:tcW w:w="1591" w:type="dxa"/>
            <w:vMerge w:val="restart"/>
            <w:tcBorders>
              <w:top w:val="nil"/>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SDM yang bertugas dalam Unit Perencana memiliki sertifikat perencanaan wilayah?</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memiliki sertifikat perencanaan wilayah.</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Tidak memiliki sertifikat di bidang perencana wilayah. Tenaga perencana di Dishutbun saat ini merupakan orang-orang yang belajar tentang perencanaan secara otodidak. Tetapai mereka kemjadi terlatih karena frekwensi melakukan pekerjaan di bidang perencanaan cukup tinggi. Meskipun secara formal tidak memiliki latar bekalang di bidang perencanaan. Saya sendiri atau Mujahid (Kabubdin rehabilitasi Lahan) secara formal tidak memiliki sertifikat dibidang perencana, tapi karena terus </w:t>
            </w:r>
            <w:r w:rsidRPr="00401428">
              <w:rPr>
                <w:rFonts w:ascii="Times New Roman" w:eastAsia="Times New Roman" w:hAnsi="Times New Roman" w:cs="Times New Roman"/>
                <w:color w:val="000000"/>
                <w:sz w:val="20"/>
                <w:szCs w:val="20"/>
                <w:lang w:eastAsia="id-ID"/>
              </w:rPr>
              <w:lastRenderedPageBreak/>
              <w:t xml:space="preserve">menerus menyusun rencana kegiatan, kita menjadi terbiasa dan mampu melakukan pekerjaan-pekerjaan perencana sesuai dengan standar yang ditentukan.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1</w:t>
            </w:r>
          </w:p>
        </w:tc>
      </w:tr>
      <w:tr w:rsidR="00401428" w:rsidRPr="00401428" w:rsidTr="00401428">
        <w:trPr>
          <w:trHeight w:val="1530"/>
        </w:trPr>
        <w:tc>
          <w:tcPr>
            <w:tcW w:w="714"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11"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PU</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memiliki sertifikat perencanaan wilayah.</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Staf mengikuti pelatihan, tetapi setahu saya kalau sertifikat perencanaan wilayah belum ada. Kemarin kita baru saja mengikuti pelatihan tentang pemetaan GIS, dan sekarang ini juga ada dua orang staf kita yang sedang berangkat untuk pendalaman pelatihan tersebut sebagai tindak lanjut dari pelatihan yang kemarin dilakukan.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1530"/>
        </w:trPr>
        <w:tc>
          <w:tcPr>
            <w:tcW w:w="714"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11"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Bappeda</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memiliki sertifikat perencanaan wilayah.</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Ada yang sudah memiliki sertifikan perencanaan dan ada yang belum. Terkadang kalau ada kesempatan untuk pelatihan di bidang perencanaan, pimpinan mengirimkan staff untuk ikut, tetapi itu kan tidak mungkin semua kita kirim, jadi berangsur-berangsur. Penguatan SDM melalui pelatihan sangat penting, dan sangat kita butuhkan untuk meningkatkan kinerja di sini.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2</w:t>
            </w: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555"/>
        </w:trPr>
        <w:tc>
          <w:tcPr>
            <w:tcW w:w="3416" w:type="dxa"/>
            <w:gridSpan w:val="3"/>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401428" w:rsidRPr="00401428" w:rsidTr="00401428">
        <w:trPr>
          <w:trHeight w:val="34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821"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Kepala SKPD, dan Kepala Bagian Perencanaan</w:t>
            </w: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153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BIb1</w:t>
            </w:r>
          </w:p>
        </w:tc>
        <w:tc>
          <w:tcPr>
            <w:tcW w:w="1111" w:type="dxa"/>
            <w:vMerge w:val="restart"/>
            <w:tcBorders>
              <w:top w:val="nil"/>
              <w:left w:val="single" w:sz="4" w:space="0" w:color="auto"/>
              <w:bottom w:val="single" w:sz="4" w:space="0" w:color="000000"/>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Latar belakang Pendidikan formal </w:t>
            </w:r>
          </w:p>
        </w:tc>
        <w:tc>
          <w:tcPr>
            <w:tcW w:w="1591" w:type="dxa"/>
            <w:vMerge w:val="restart"/>
            <w:tcBorders>
              <w:top w:val="nil"/>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Apa pendapat Anda mengenai Latar Belakang Pendidikan formal SDM yang bertugas dalam Unit </w:t>
            </w:r>
            <w:r w:rsidRPr="00401428">
              <w:rPr>
                <w:rFonts w:ascii="Times New Roman" w:eastAsia="Times New Roman" w:hAnsi="Times New Roman" w:cs="Times New Roman"/>
                <w:color w:val="000000"/>
                <w:sz w:val="20"/>
                <w:szCs w:val="20"/>
                <w:lang w:eastAsia="id-ID"/>
              </w:rPr>
              <w:lastRenderedPageBreak/>
              <w:t>Perencana?</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Dasar struktur kepegawaian di Dinas kehutanan, dengan melihat gelar SDM di bidang perencanaan.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Latar belakang ada yang sesuai dengan disiplinnya dan ada yang tidak sesuai. Mujahid, informan kami mengaku bahwa disiplin keilmuannya </w:t>
            </w:r>
            <w:r w:rsidRPr="00401428">
              <w:rPr>
                <w:rFonts w:ascii="Times New Roman" w:eastAsia="Times New Roman" w:hAnsi="Times New Roman" w:cs="Times New Roman"/>
                <w:color w:val="000000"/>
                <w:sz w:val="20"/>
                <w:szCs w:val="20"/>
                <w:lang w:eastAsia="id-ID"/>
              </w:rPr>
              <w:lastRenderedPageBreak/>
              <w:t>tidak sesuai dengan tugas-tugas perencanaan, tetapi dia yang selama ini mengerjakan tugas-tgas perencanaan. Demikian pula, Azen Kurnia, tidak dari sarjana perencanaan, tetapi melakukan tugas perencanaan.</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3</w:t>
            </w:r>
          </w:p>
        </w:tc>
      </w:tr>
      <w:tr w:rsidR="00401428" w:rsidRPr="00401428" w:rsidTr="00401428">
        <w:trPr>
          <w:trHeight w:val="510"/>
        </w:trPr>
        <w:tc>
          <w:tcPr>
            <w:tcW w:w="714"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11"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PU</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Dokumen tidak didapatkan.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Semuanya sarjana, karena dalam rekrutmen PNS memang disyarakatkan yang berlatar belakang pendidikan sarjana.</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1020"/>
        </w:trPr>
        <w:tc>
          <w:tcPr>
            <w:tcW w:w="714"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11"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Bappeda</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Dokumen tidak didapatkan.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Latar belakang pendidkian, saya kira sudah cukup memadai, karena kebanyakan sudah S1 atau S2, dan beberapa diantara mereka sesuai dengan bidang kerjanya. Memang ada yang tidak sesuai dengan bidang kerjanya juga</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BIb2</w:t>
            </w:r>
          </w:p>
        </w:tc>
        <w:tc>
          <w:tcPr>
            <w:tcW w:w="1111" w:type="dxa"/>
            <w:vMerge w:val="restart"/>
            <w:tcBorders>
              <w:top w:val="nil"/>
              <w:left w:val="single" w:sz="4" w:space="0" w:color="auto"/>
              <w:bottom w:val="single" w:sz="4" w:space="0" w:color="000000"/>
              <w:right w:val="single" w:sz="4" w:space="0" w:color="auto"/>
            </w:tcBorders>
            <w:shd w:val="clear" w:color="auto" w:fill="auto"/>
            <w:vAlign w:val="center"/>
            <w:hideMark/>
          </w:tcPr>
          <w:p w:rsidR="00401428" w:rsidRPr="00401428" w:rsidRDefault="00401428" w:rsidP="00401428">
            <w:pPr>
              <w:spacing w:after="24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Lama waktu kerja sebagai perencana </w:t>
            </w:r>
          </w:p>
        </w:tc>
        <w:tc>
          <w:tcPr>
            <w:tcW w:w="1591" w:type="dxa"/>
            <w:vMerge w:val="restart"/>
            <w:tcBorders>
              <w:top w:val="nil"/>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Dokumen relevan tidak didapatkan.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Ada banyak pegawai di Unit Perencana, tapi karena sudah lama di sini, akhirnya memiliki pengalaman yang memadai untuk tugas-tugas perencanaan</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765"/>
        </w:trPr>
        <w:tc>
          <w:tcPr>
            <w:tcW w:w="714"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11"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PU</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Dokumen tidak didapatkan.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PNS di sini ada yang memang sudah senior di sini, ada juga yang rekrutmennya masih baru. tetapi antara satu sama lain bisa bertuar pengalaman untuk saling belajar.</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2</w:t>
            </w:r>
          </w:p>
        </w:tc>
      </w:tr>
      <w:tr w:rsidR="00401428" w:rsidRPr="00401428" w:rsidTr="00401428">
        <w:trPr>
          <w:trHeight w:val="1020"/>
        </w:trPr>
        <w:tc>
          <w:tcPr>
            <w:tcW w:w="714"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11"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Bappeda</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Dokumen tidak didapatkan.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Kita di sini yang membidangai masalah kehutanan disesuai dengan disiplin keilmuannya. Saya sendiri S1-nya dari kehutanan. Dan yang untuk tata ruang kehutanan itu memang kita ambil juga sesuai disiplin  keilmuannya</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51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BIb3</w:t>
            </w:r>
          </w:p>
        </w:tc>
        <w:tc>
          <w:tcPr>
            <w:tcW w:w="1111" w:type="dxa"/>
            <w:vMerge w:val="restart"/>
            <w:tcBorders>
              <w:top w:val="nil"/>
              <w:left w:val="single" w:sz="4" w:space="0" w:color="auto"/>
              <w:bottom w:val="single" w:sz="4" w:space="0" w:color="000000"/>
              <w:right w:val="single" w:sz="4" w:space="0" w:color="auto"/>
            </w:tcBorders>
            <w:shd w:val="clear" w:color="auto" w:fill="auto"/>
            <w:vAlign w:val="center"/>
            <w:hideMark/>
          </w:tcPr>
          <w:p w:rsidR="00401428" w:rsidRPr="00401428" w:rsidRDefault="00401428" w:rsidP="00401428">
            <w:pPr>
              <w:spacing w:after="24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Sertifikat perencana</w:t>
            </w:r>
            <w:r w:rsidRPr="00401428">
              <w:rPr>
                <w:rFonts w:ascii="Times New Roman" w:eastAsia="Times New Roman" w:hAnsi="Times New Roman" w:cs="Times New Roman"/>
                <w:color w:val="000000"/>
                <w:sz w:val="20"/>
                <w:szCs w:val="20"/>
                <w:lang w:eastAsia="id-ID"/>
              </w:rPr>
              <w:lastRenderedPageBreak/>
              <w:t xml:space="preserve">an wilayah </w:t>
            </w:r>
          </w:p>
        </w:tc>
        <w:tc>
          <w:tcPr>
            <w:tcW w:w="1591" w:type="dxa"/>
            <w:vMerge w:val="restart"/>
            <w:tcBorders>
              <w:top w:val="nil"/>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 xml:space="preserve">Apakah SDM yang bertugas dalam Unit Perencana </w:t>
            </w:r>
            <w:r w:rsidRPr="00401428">
              <w:rPr>
                <w:rFonts w:ascii="Times New Roman" w:eastAsia="Times New Roman" w:hAnsi="Times New Roman" w:cs="Times New Roman"/>
                <w:color w:val="000000"/>
                <w:sz w:val="20"/>
                <w:szCs w:val="20"/>
                <w:lang w:eastAsia="id-ID"/>
              </w:rPr>
              <w:lastRenderedPageBreak/>
              <w:t>memiliki sertifikat perencanaan kehutanan?</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memiliki sertifikat perencanaan wilayah</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 yang memiliki sertifikat.</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r>
      <w:tr w:rsidR="00401428" w:rsidRPr="00401428" w:rsidTr="00401428">
        <w:trPr>
          <w:trHeight w:val="1785"/>
        </w:trPr>
        <w:tc>
          <w:tcPr>
            <w:tcW w:w="714"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11"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PU</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memiliki sertifikat perencanaan wilayah</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Setahu saya tidak ada yang punya sertifikat untuk perencanaan kehutanan, karena kita di tata ruang yang secara umum, tidak khusus kehutanan. Aceh Tenggara merupakan kabupaten yang masih baru, masih banyak SDM yang perlu dilakukan pembenahan. Pekerjaan-pekerjaan perencanaan dilakukan secara bersama-sama. Satu sama lain saling belajar. Ada yang dari perencana itu tidak sesuai dengan latar belakang</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510"/>
        </w:trPr>
        <w:tc>
          <w:tcPr>
            <w:tcW w:w="714"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11"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Bappeda</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memiliki sertifikat perencanaan wilayah</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Ada yang memiliki, tapi tidak semua.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3416" w:type="dxa"/>
            <w:gridSpan w:val="3"/>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401428" w:rsidRPr="00401428" w:rsidTr="00401428">
        <w:trPr>
          <w:trHeight w:val="52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single" w:sz="4" w:space="0" w:color="auto"/>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Usulan kegiatan dan DIPA pada tahun yang sama tiga tahun kebelakang,</w:t>
            </w:r>
            <w:r w:rsidRPr="00401428">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178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BIc1</w:t>
            </w:r>
          </w:p>
        </w:tc>
        <w:tc>
          <w:tcPr>
            <w:tcW w:w="1111" w:type="dxa"/>
            <w:vMerge w:val="restart"/>
            <w:tcBorders>
              <w:top w:val="nil"/>
              <w:left w:val="single" w:sz="4" w:space="0" w:color="auto"/>
              <w:bottom w:val="single" w:sz="4" w:space="0" w:color="000000"/>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Jumlah dana yang dialokasi-kan dalam DIPA untuk menyu-sun proses perencanaan tata ruang yang partisipatif </w:t>
            </w:r>
          </w:p>
        </w:tc>
        <w:tc>
          <w:tcPr>
            <w:tcW w:w="1591" w:type="dxa"/>
            <w:vMerge w:val="restart"/>
            <w:tcBorders>
              <w:top w:val="nil"/>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Berdasarkan analisa terhadap Peraturan Bupati Aceh Tenggara No 01 Tahun 2011 dan Peraturan Bupati Aceh Tenggara No No Tahun 2010, jumlah dana dalam DIPA berbeda dangan usulan dari dinas Kehutanan dan Perkebunan. </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c>
          <w:tcPr>
            <w:tcW w:w="2127" w:type="dxa"/>
            <w:tcBorders>
              <w:top w:val="nil"/>
              <w:left w:val="nil"/>
              <w:bottom w:val="single" w:sz="4" w:space="0" w:color="auto"/>
              <w:right w:val="single" w:sz="4" w:space="0" w:color="auto"/>
            </w:tcBorders>
            <w:shd w:val="clear" w:color="000000" w:fill="000000"/>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Manurut Azanuddin Kurnia memang tidak selalu dana yang mereka usulkan diterima 100% dalam APBK Aceh Tenggara. Termasuk dalam dana proses perencanaan tata ruang yang partisipatif. Setelah Tatat Ruang di sahkan pada 2010, anggaran untuk itu pada 2012 sudah tidak ada lagi. padahal RTRWK belum disahkan dipropinsi dan Pemerintah Pusat.</w:t>
            </w:r>
          </w:p>
        </w:tc>
        <w:tc>
          <w:tcPr>
            <w:tcW w:w="1382" w:type="dxa"/>
            <w:tcBorders>
              <w:top w:val="nil"/>
              <w:left w:val="nil"/>
              <w:bottom w:val="single" w:sz="4" w:space="0" w:color="auto"/>
              <w:right w:val="single" w:sz="4" w:space="0" w:color="auto"/>
            </w:tcBorders>
            <w:shd w:val="clear" w:color="000000" w:fill="000000"/>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1785"/>
        </w:trPr>
        <w:tc>
          <w:tcPr>
            <w:tcW w:w="714"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11"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Dinas Pertanian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Berdasarkan analisa terhadap Peraturan Bupati Aceh Tenggara No 01 Tahun 2011 dan Peraturan Bupati Aceh Tenggara No No Tahun 2010, jumlah dana dalam DIPA berbeda dangan </w:t>
            </w:r>
            <w:r w:rsidRPr="00401428">
              <w:rPr>
                <w:rFonts w:ascii="Times New Roman" w:eastAsia="Times New Roman" w:hAnsi="Times New Roman" w:cs="Times New Roman"/>
                <w:color w:val="000000"/>
                <w:sz w:val="20"/>
                <w:szCs w:val="20"/>
                <w:lang w:eastAsia="id-ID"/>
              </w:rPr>
              <w:lastRenderedPageBreak/>
              <w:t xml:space="preserve">usulan dari dinas Kehutanan dan Perkebunan. </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3</w:t>
            </w:r>
          </w:p>
        </w:tc>
        <w:tc>
          <w:tcPr>
            <w:tcW w:w="2127" w:type="dxa"/>
            <w:tcBorders>
              <w:top w:val="nil"/>
              <w:left w:val="nil"/>
              <w:bottom w:val="single" w:sz="4" w:space="0" w:color="auto"/>
              <w:right w:val="single" w:sz="4" w:space="0" w:color="auto"/>
            </w:tcBorders>
            <w:shd w:val="clear" w:color="000000" w:fill="000000"/>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w:t>
            </w:r>
          </w:p>
        </w:tc>
      </w:tr>
      <w:tr w:rsidR="00401428" w:rsidRPr="00401428" w:rsidTr="00401428">
        <w:trPr>
          <w:trHeight w:val="255"/>
        </w:trPr>
        <w:tc>
          <w:tcPr>
            <w:tcW w:w="714"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11"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single" w:sz="4" w:space="0" w:color="auto"/>
              <w:right w:val="single" w:sz="4" w:space="0" w:color="auto"/>
            </w:tcBorders>
            <w:shd w:val="clear" w:color="000000" w:fill="F2DDDC"/>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BPN</w:t>
            </w:r>
          </w:p>
        </w:tc>
        <w:tc>
          <w:tcPr>
            <w:tcW w:w="1696" w:type="dxa"/>
            <w:tcBorders>
              <w:top w:val="nil"/>
              <w:left w:val="nil"/>
              <w:bottom w:val="single" w:sz="4" w:space="0" w:color="auto"/>
              <w:right w:val="single" w:sz="4" w:space="0" w:color="auto"/>
            </w:tcBorders>
            <w:shd w:val="clear" w:color="000000" w:fill="F2DDDC"/>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w:t>
            </w:r>
          </w:p>
        </w:tc>
        <w:tc>
          <w:tcPr>
            <w:tcW w:w="1139" w:type="dxa"/>
            <w:tcBorders>
              <w:top w:val="nil"/>
              <w:left w:val="nil"/>
              <w:bottom w:val="single" w:sz="4" w:space="0" w:color="auto"/>
              <w:right w:val="single" w:sz="4" w:space="0" w:color="auto"/>
            </w:tcBorders>
            <w:shd w:val="clear" w:color="000000" w:fill="F2DDDC"/>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w:t>
            </w:r>
          </w:p>
        </w:tc>
        <w:tc>
          <w:tcPr>
            <w:tcW w:w="2127" w:type="dxa"/>
            <w:tcBorders>
              <w:top w:val="nil"/>
              <w:left w:val="nil"/>
              <w:bottom w:val="single" w:sz="4" w:space="0" w:color="auto"/>
              <w:right w:val="single" w:sz="4" w:space="0" w:color="auto"/>
            </w:tcBorders>
            <w:shd w:val="clear" w:color="000000" w:fill="000000"/>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w:t>
            </w: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d. Standar Operating Procedure (SOP) penyelesaian konflik perencanaan kawasan hutan di instansi kehutanan  </w:t>
            </w:r>
          </w:p>
        </w:tc>
      </w:tr>
      <w:tr w:rsidR="00401428" w:rsidRPr="00401428" w:rsidTr="00401428">
        <w:trPr>
          <w:trHeight w:val="49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819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BId1</w:t>
            </w:r>
          </w:p>
        </w:tc>
        <w:tc>
          <w:tcPr>
            <w:tcW w:w="1111"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Pembagian tugas</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 pendapat Anda mengenai Pembagian Tugas dalam SOP penyelesaian konflik perencanaan kawasan di instansi kehutanan?</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 dokumen SOP penyelesaian konflik.</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Sumber Informan adalah Azanuddin Kurnia, Kepala Bidang Perlindungan Hutan di Dishutbun Kabupaten Aceh Tenggara. Menurut Azanuddin Kurnia, konflik dalam bidang kehutanan di Kabupaten Aceh Tengara tidak banyak yang mengemuka ke permukaan. Karena berbeda dengan di tempat lain, di Aceh Tenggara tidak ada perusahaan yang beroperasi dengan berbasis lahan. Tidak ada Perusahaan Kehutanan seperti HTI, atau perkebunan sawit besar dan perusahaan pertambangan. Dahulu pada tahun 1980-an pernah ada HPH terapi izinnya sudah habis. Sampai sekarang tidak pernah ada penerbitan izin usaha HTI misalnya. Memang ada perkebunan sawit skala kecil milik individu-individu, dan bukan milik perusahaan. Jadi, tidak ada usaha persawitan yang dilakukan lembaga berbadan hukum perusahaan. Demikian pula dalam bidang pertambangan, meskipun ada sinyalemen keinginan beberapa pihak untuk </w:t>
            </w:r>
            <w:r w:rsidRPr="00401428">
              <w:rPr>
                <w:rFonts w:ascii="Times New Roman" w:eastAsia="Times New Roman" w:hAnsi="Times New Roman" w:cs="Times New Roman"/>
                <w:color w:val="000000"/>
                <w:sz w:val="20"/>
                <w:szCs w:val="20"/>
                <w:lang w:eastAsia="id-ID"/>
              </w:rPr>
              <w:lastRenderedPageBreak/>
              <w:t xml:space="preserve">mengoperasikan pertambangan timah di salah satu kawasan di Aceh Tenggara.Tetapi bagaimanapun pemerintah daerah memiliki mekanisme dalam penyelesaian konflik, yang itu mengacu kepada ketentuan yang sudah ditetapkan instansi di atasnya, seperti dinas kehutanan di tingkat propinsi maupun kementerian kehutanan di tingkat pusat. Tidak terbentuknya unit khusus tentang penyelesaian konflik karena konflik  kehutanan tergolong rendah. Memang sering muncul konflik antara masayarkat terkait pemanfaatan lahan di kawasan yang status hukumnya hutan lindung atau hutan konservasi. Tetapi konflik tersebut terjadi antara individu sesama orang yang melakukan perambahan hutan. Misalnya begini: ada perambah hutan, kemudian lahannya ditinggalkan, kemudian dimanfaatkan oleh orang lain. Dan yang merambah pertama mempersoalkan terjadilah sengketa lahan antara warga. Tetapi karena lahan tersebut berada di kawasan lindung atau konservasi, maka mereka tidak berani mengadukan persoalannya ke Dinas Kehutanan. Pada situasi demikian, dishut tidak melakukan upaya penyelesaian konflik, karena memang tidak ada pengaduan.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2</w:t>
            </w:r>
          </w:p>
        </w:tc>
      </w:tr>
      <w:tr w:rsidR="00401428" w:rsidRPr="00401428" w:rsidTr="00401428">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BId2</w:t>
            </w:r>
          </w:p>
        </w:tc>
        <w:tc>
          <w:tcPr>
            <w:tcW w:w="1111"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Struktur Organisasi </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Apa pendapat Anda mengenai Struktur Organisasi dalam SOP penyelesaian </w:t>
            </w:r>
            <w:r w:rsidRPr="00401428">
              <w:rPr>
                <w:rFonts w:ascii="Times New Roman" w:eastAsia="Times New Roman" w:hAnsi="Times New Roman" w:cs="Times New Roman"/>
                <w:color w:val="000000"/>
                <w:sz w:val="20"/>
                <w:szCs w:val="20"/>
                <w:lang w:eastAsia="id-ID"/>
              </w:rPr>
              <w:lastRenderedPageBreak/>
              <w:t>konflik perencanaan kawasan di instansi kehutanan?</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 struktur organisasi SOP Penyelesaian Konflik</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Tidak ada struktur organisasi dalam SOP Penyelesaian konflik.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r>
      <w:tr w:rsidR="00401428" w:rsidRPr="00401428" w:rsidTr="00401428">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BId3</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Tahapan pelaksanaan penyelesaian konflik</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 pendapat Anda mengenai Tahapan pelaksanaan penyelesai-an dalam SOP penyelesaian konflik perencanaan kawasan di instansi kehutanan?</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 SOP Pelaksanaan Penyelesaian Konflik</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Tidak ada struktur organisasi dalam SOP Penyelesaian konflik.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r>
      <w:tr w:rsidR="00401428" w:rsidRPr="00401428" w:rsidTr="00401428">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BId4</w:t>
            </w:r>
          </w:p>
        </w:tc>
        <w:tc>
          <w:tcPr>
            <w:tcW w:w="1111"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Keterlibatan masyarakat</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 pendapat Anda mengenai Ke-terlibatan masyarakat dalam SOP penyelesaian konflik perencanaan kawasan di instansi kehutanan?</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 dokumen yang relevan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Tidak ada struktur organisasi dalam SOP Penyelesaian konflik.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r>
      <w:tr w:rsidR="00401428" w:rsidRPr="00401428" w:rsidTr="00401428">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BId5</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Mekanisme pengambilan keputusan</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 pendapat Anda mengenai Me-kanisme pengambilan keputusan dalam SOP penyelesaian konflik perencanaan kawasan di instansi kehutanan?</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 dokumen yang relevan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Tidak ada struktur organisasi dalam SOP Penyelesaian konflik.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r>
      <w:tr w:rsidR="00401428" w:rsidRPr="00401428" w:rsidTr="00401428">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BId6</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Tata waktu penyelesaian konflik</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 dokumen yang relevan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Tidak ada struktur organisasi dalam SOP Penyelesaian konflik.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r>
      <w:tr w:rsidR="00401428" w:rsidRPr="00401428" w:rsidTr="00401428">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BId7</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Mekanisme penyampaian informasi proses dan hasil penyelesaian konflik</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Apa pendapat Anda mengenai Me-kanisme penyampaian informasi proses dan hasil penyelesaian konflik dalam SOP penyelesaian </w:t>
            </w:r>
            <w:r w:rsidRPr="00401428">
              <w:rPr>
                <w:rFonts w:ascii="Times New Roman" w:eastAsia="Times New Roman" w:hAnsi="Times New Roman" w:cs="Times New Roman"/>
                <w:color w:val="000000"/>
                <w:sz w:val="20"/>
                <w:szCs w:val="20"/>
                <w:lang w:eastAsia="id-ID"/>
              </w:rPr>
              <w:lastRenderedPageBreak/>
              <w:t>konflik perencanaan kawasan di instansi kehutanan?</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 dokumen yang relevan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Tidak ada struktur organisasi dalam SOP Penyelesaian konflik.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401428" w:rsidRPr="00401428" w:rsidTr="00401428">
        <w:trPr>
          <w:trHeight w:val="58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819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BIe1</w:t>
            </w:r>
          </w:p>
        </w:tc>
        <w:tc>
          <w:tcPr>
            <w:tcW w:w="11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w:t>
            </w:r>
          </w:p>
        </w:tc>
        <w:tc>
          <w:tcPr>
            <w:tcW w:w="1591" w:type="dxa"/>
            <w:vMerge w:val="restart"/>
            <w:tcBorders>
              <w:top w:val="nil"/>
              <w:left w:val="single" w:sz="4" w:space="0" w:color="auto"/>
              <w:bottom w:val="single" w:sz="4" w:space="0" w:color="000000"/>
              <w:right w:val="single" w:sz="4" w:space="0" w:color="auto"/>
            </w:tcBorders>
            <w:shd w:val="clear" w:color="auto" w:fill="auto"/>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000000" w:fill="000000"/>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w:t>
            </w:r>
          </w:p>
        </w:tc>
        <w:tc>
          <w:tcPr>
            <w:tcW w:w="1139" w:type="dxa"/>
            <w:tcBorders>
              <w:top w:val="nil"/>
              <w:left w:val="nil"/>
              <w:bottom w:val="single" w:sz="4" w:space="0" w:color="auto"/>
              <w:right w:val="single" w:sz="4" w:space="0" w:color="auto"/>
            </w:tcBorders>
            <w:shd w:val="clear" w:color="000000" w:fill="000000"/>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Menurut Azanuddin Kurnia, anggota legislatif yang tergolong cukup gigih memperjuangkan perencanan wilayah berbasis kelestarian hutan dan berkeadilan bagi masyarakat jumlahnya sangat terbatas. Ada satu orang, yakni Sdr. Erdarina Pelis, anggota DPRD asal Partai Gerinda. Erdarina sebelum menjadi anggota DPRD merupakan aktivis yang bergerak di isu lingkungan. Setelah menjadi anggota DPRD pun dia masih terlibat dalam perndirian LSM Putri Sepakat, LSM ini bergerak di isu pemberdayaan masyarakat berbasis pelestarian lingkungan. </w:t>
            </w:r>
            <w:r w:rsidRPr="00401428">
              <w:rPr>
                <w:rFonts w:ascii="Times New Roman" w:eastAsia="Times New Roman" w:hAnsi="Times New Roman" w:cs="Times New Roman"/>
                <w:color w:val="000000"/>
                <w:sz w:val="20"/>
                <w:szCs w:val="20"/>
                <w:lang w:eastAsia="id-ID"/>
              </w:rPr>
              <w:br/>
              <w:t xml:space="preserve">Mungkin juga ada anggota DPRD lainnya yang cukup aktif memperjuangkan lingkungan, tetapi setidaknya perjuangannya belum terpantau ke publik. Ada seorang anggota DPRD yang sekarang ini sebelumnya cukup bergiat di bidang pelestarian lingkungan, tetapi ketika sudah menjadi anggota DPRD berupah sikap menjadi sama saja dengan yang lainnya. Sudah </w:t>
            </w:r>
            <w:r w:rsidRPr="00401428">
              <w:rPr>
                <w:rFonts w:ascii="Times New Roman" w:eastAsia="Times New Roman" w:hAnsi="Times New Roman" w:cs="Times New Roman"/>
                <w:color w:val="000000"/>
                <w:sz w:val="20"/>
                <w:szCs w:val="20"/>
                <w:lang w:eastAsia="id-ID"/>
              </w:rPr>
              <w:lastRenderedPageBreak/>
              <w:t xml:space="preserve">terkontaminasi dengan anggota DPRD umumnya. Jumlah yang sedikit ini menjadikan upaya memperjuangkan perencanaan wilayah berbasis kelestarian hutan masih kurang memadai. </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br/>
              <w:t xml:space="preserve">Berdasarkan karegori yang dibuat panel ahli, jumlah ini tergolong sebagai buruk. Hal ini cukup beralasan, karena sebagaimana informasi yang berhasi dikumpulkan dari para narasumber, perdebatan dalam penyusunan RTRWK di Aceh Tenggara berlangsung secara tidak berimbang tidak ada dukungan terhadap penyusunan RTRWK yang berbasis pelestarian lingkungan.  Hasilnya, RTRK Aceh tenggara engusulkan perubahan alih fungsi kawasan hutan bekas HPH menjadi kawasan budidaya (area pengguanaan lain). Satu kecamatan yang secara geografis berada di kawasan lindung diusulkan untuk diakui sebagai kawasan budidaya, kerena secara faktual memang sudah tidak ada hutan lagi. Usulan ini menjadi sumber konflik tata ruang, dan belum mendapat persetujuan dari propinsi dan pemerintah pusat. </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br/>
              <w:t xml:space="preserve">CATATAN TAMBAHAN : </w:t>
            </w:r>
            <w:r w:rsidRPr="00401428">
              <w:rPr>
                <w:rFonts w:ascii="Times New Roman" w:eastAsia="Times New Roman" w:hAnsi="Times New Roman" w:cs="Times New Roman"/>
                <w:color w:val="000000"/>
                <w:sz w:val="20"/>
                <w:szCs w:val="20"/>
                <w:lang w:eastAsia="id-ID"/>
              </w:rPr>
              <w:br/>
              <w:t xml:space="preserve">Jumlah Anggota legislatif di DPRD Aceh Tenggara sebanyak 25 orang. Komposisi anggota DPRD Agara dapat digambarkan sebagaimana berikut: </w:t>
            </w:r>
            <w:r w:rsidRPr="00401428">
              <w:rPr>
                <w:rFonts w:ascii="Times New Roman" w:eastAsia="Times New Roman" w:hAnsi="Times New Roman" w:cs="Times New Roman"/>
                <w:color w:val="000000"/>
                <w:sz w:val="20"/>
                <w:szCs w:val="20"/>
                <w:lang w:eastAsia="id-ID"/>
              </w:rPr>
              <w:br/>
              <w:t>PARTAI GOLKAR</w:t>
            </w:r>
            <w:r w:rsidRPr="00401428">
              <w:rPr>
                <w:rFonts w:ascii="Times New Roman" w:eastAsia="Times New Roman" w:hAnsi="Times New Roman" w:cs="Times New Roman"/>
                <w:color w:val="000000"/>
                <w:sz w:val="20"/>
                <w:szCs w:val="20"/>
                <w:lang w:eastAsia="id-ID"/>
              </w:rPr>
              <w:br/>
              <w:t xml:space="preserve">1. M Salim Fahri SE MM (KETUA DPRK) </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lastRenderedPageBreak/>
              <w:t>2. Rasjidun Pagan SE</w:t>
            </w:r>
            <w:r w:rsidRPr="00401428">
              <w:rPr>
                <w:rFonts w:ascii="Times New Roman" w:eastAsia="Times New Roman" w:hAnsi="Times New Roman" w:cs="Times New Roman"/>
                <w:color w:val="000000"/>
                <w:sz w:val="20"/>
                <w:szCs w:val="20"/>
                <w:lang w:eastAsia="id-ID"/>
              </w:rPr>
              <w:br/>
              <w:t>3. Ernita</w:t>
            </w:r>
            <w:r w:rsidRPr="00401428">
              <w:rPr>
                <w:rFonts w:ascii="Times New Roman" w:eastAsia="Times New Roman" w:hAnsi="Times New Roman" w:cs="Times New Roman"/>
                <w:color w:val="000000"/>
                <w:sz w:val="20"/>
                <w:szCs w:val="20"/>
                <w:lang w:eastAsia="id-ID"/>
              </w:rPr>
              <w:br/>
              <w:t>4. Abdul Malik</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br/>
              <w:t>PKPI</w:t>
            </w:r>
            <w:r w:rsidRPr="00401428">
              <w:rPr>
                <w:rFonts w:ascii="Times New Roman" w:eastAsia="Times New Roman" w:hAnsi="Times New Roman" w:cs="Times New Roman"/>
                <w:color w:val="000000"/>
                <w:sz w:val="20"/>
                <w:szCs w:val="20"/>
                <w:lang w:eastAsia="id-ID"/>
              </w:rPr>
              <w:br/>
              <w:t>1. Irwandi Desky</w:t>
            </w:r>
            <w:r w:rsidRPr="00401428">
              <w:rPr>
                <w:rFonts w:ascii="Times New Roman" w:eastAsia="Times New Roman" w:hAnsi="Times New Roman" w:cs="Times New Roman"/>
                <w:color w:val="000000"/>
                <w:sz w:val="20"/>
                <w:szCs w:val="20"/>
                <w:lang w:eastAsia="id-ID"/>
              </w:rPr>
              <w:br/>
              <w:t>2. Gabe Maratua Tambunan</w:t>
            </w:r>
            <w:r w:rsidRPr="00401428">
              <w:rPr>
                <w:rFonts w:ascii="Times New Roman" w:eastAsia="Times New Roman" w:hAnsi="Times New Roman" w:cs="Times New Roman"/>
                <w:color w:val="000000"/>
                <w:sz w:val="20"/>
                <w:szCs w:val="20"/>
                <w:lang w:eastAsia="id-ID"/>
              </w:rPr>
              <w:br/>
              <w:t xml:space="preserve"> </w:t>
            </w:r>
            <w:r w:rsidRPr="00401428">
              <w:rPr>
                <w:rFonts w:ascii="Times New Roman" w:eastAsia="Times New Roman" w:hAnsi="Times New Roman" w:cs="Times New Roman"/>
                <w:color w:val="000000"/>
                <w:sz w:val="20"/>
                <w:szCs w:val="20"/>
                <w:lang w:eastAsia="id-ID"/>
              </w:rPr>
              <w:br/>
              <w:t>PPI</w:t>
            </w:r>
            <w:r w:rsidRPr="00401428">
              <w:rPr>
                <w:rFonts w:ascii="Times New Roman" w:eastAsia="Times New Roman" w:hAnsi="Times New Roman" w:cs="Times New Roman"/>
                <w:color w:val="000000"/>
                <w:sz w:val="20"/>
                <w:szCs w:val="20"/>
                <w:lang w:eastAsia="id-ID"/>
              </w:rPr>
              <w:br/>
              <w:t>1. Dr Suhelman (sudah meninggal dan sudah di PAW)</w:t>
            </w:r>
            <w:r w:rsidRPr="00401428">
              <w:rPr>
                <w:rFonts w:ascii="Times New Roman" w:eastAsia="Times New Roman" w:hAnsi="Times New Roman" w:cs="Times New Roman"/>
                <w:color w:val="000000"/>
                <w:sz w:val="20"/>
                <w:szCs w:val="20"/>
                <w:lang w:eastAsia="id-ID"/>
              </w:rPr>
              <w:br/>
              <w:t>2. Muhammad Yunir</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br/>
              <w:t>PNI MARHENISME</w:t>
            </w:r>
            <w:r w:rsidRPr="00401428">
              <w:rPr>
                <w:rFonts w:ascii="Times New Roman" w:eastAsia="Times New Roman" w:hAnsi="Times New Roman" w:cs="Times New Roman"/>
                <w:color w:val="000000"/>
                <w:sz w:val="20"/>
                <w:szCs w:val="20"/>
                <w:lang w:eastAsia="id-ID"/>
              </w:rPr>
              <w:br/>
              <w:t>1. Nazaruddin (Wakil Ketua I DPRK)</w:t>
            </w:r>
            <w:r w:rsidRPr="00401428">
              <w:rPr>
                <w:rFonts w:ascii="Times New Roman" w:eastAsia="Times New Roman" w:hAnsi="Times New Roman" w:cs="Times New Roman"/>
                <w:color w:val="000000"/>
                <w:sz w:val="20"/>
                <w:szCs w:val="20"/>
                <w:lang w:eastAsia="id-ID"/>
              </w:rPr>
              <w:br/>
              <w:t>2. Roy Darwan</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br/>
              <w:t>PAN</w:t>
            </w:r>
            <w:r w:rsidRPr="00401428">
              <w:rPr>
                <w:rFonts w:ascii="Times New Roman" w:eastAsia="Times New Roman" w:hAnsi="Times New Roman" w:cs="Times New Roman"/>
                <w:color w:val="000000"/>
                <w:sz w:val="20"/>
                <w:szCs w:val="20"/>
                <w:lang w:eastAsia="id-ID"/>
              </w:rPr>
              <w:br/>
              <w:t>1. Buhari Selian</w:t>
            </w:r>
            <w:r w:rsidRPr="00401428">
              <w:rPr>
                <w:rFonts w:ascii="Times New Roman" w:eastAsia="Times New Roman" w:hAnsi="Times New Roman" w:cs="Times New Roman"/>
                <w:color w:val="000000"/>
                <w:sz w:val="20"/>
                <w:szCs w:val="20"/>
                <w:lang w:eastAsia="id-ID"/>
              </w:rPr>
              <w:br/>
              <w:t>PKS</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br/>
              <w:t>1. Rahmad Hidayat</w:t>
            </w:r>
            <w:r w:rsidRPr="00401428">
              <w:rPr>
                <w:rFonts w:ascii="Times New Roman" w:eastAsia="Times New Roman" w:hAnsi="Times New Roman" w:cs="Times New Roman"/>
                <w:color w:val="000000"/>
                <w:sz w:val="20"/>
                <w:szCs w:val="20"/>
                <w:lang w:eastAsia="id-ID"/>
              </w:rPr>
              <w:br/>
              <w:t>2. Syahbuddin BP (Wakil Ketua II DPRK)</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br/>
              <w:t>PDP</w:t>
            </w:r>
            <w:r w:rsidRPr="00401428">
              <w:rPr>
                <w:rFonts w:ascii="Times New Roman" w:eastAsia="Times New Roman" w:hAnsi="Times New Roman" w:cs="Times New Roman"/>
                <w:color w:val="000000"/>
                <w:sz w:val="20"/>
                <w:szCs w:val="20"/>
                <w:lang w:eastAsia="id-ID"/>
              </w:rPr>
              <w:br/>
              <w:t>1. Agus Tamin Sianturi</w:t>
            </w:r>
            <w:r w:rsidRPr="00401428">
              <w:rPr>
                <w:rFonts w:ascii="Times New Roman" w:eastAsia="Times New Roman" w:hAnsi="Times New Roman" w:cs="Times New Roman"/>
                <w:color w:val="000000"/>
                <w:sz w:val="20"/>
                <w:szCs w:val="20"/>
                <w:lang w:eastAsia="id-ID"/>
              </w:rPr>
              <w:br/>
              <w:t>2. M Fahrial SKD</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br/>
              <w:t>PKNU</w:t>
            </w:r>
            <w:r w:rsidRPr="00401428">
              <w:rPr>
                <w:rFonts w:ascii="Times New Roman" w:eastAsia="Times New Roman" w:hAnsi="Times New Roman" w:cs="Times New Roman"/>
                <w:color w:val="000000"/>
                <w:sz w:val="20"/>
                <w:szCs w:val="20"/>
                <w:lang w:eastAsia="id-ID"/>
              </w:rPr>
              <w:br/>
              <w:t>1. Tgk Appan Husni JS</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br/>
              <w:t>PPD</w:t>
            </w:r>
            <w:r w:rsidRPr="00401428">
              <w:rPr>
                <w:rFonts w:ascii="Times New Roman" w:eastAsia="Times New Roman" w:hAnsi="Times New Roman" w:cs="Times New Roman"/>
                <w:color w:val="000000"/>
                <w:sz w:val="20"/>
                <w:szCs w:val="20"/>
                <w:lang w:eastAsia="id-ID"/>
              </w:rPr>
              <w:br/>
              <w:t>1. Rasidin SAg</w:t>
            </w:r>
            <w:r w:rsidRPr="00401428">
              <w:rPr>
                <w:rFonts w:ascii="Times New Roman" w:eastAsia="Times New Roman" w:hAnsi="Times New Roman" w:cs="Times New Roman"/>
                <w:color w:val="000000"/>
                <w:sz w:val="20"/>
                <w:szCs w:val="20"/>
                <w:lang w:eastAsia="id-ID"/>
              </w:rPr>
              <w:br/>
              <w:t>2. Saidi</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br/>
              <w:t>PSI</w:t>
            </w:r>
            <w:r w:rsidRPr="00401428">
              <w:rPr>
                <w:rFonts w:ascii="Times New Roman" w:eastAsia="Times New Roman" w:hAnsi="Times New Roman" w:cs="Times New Roman"/>
                <w:color w:val="000000"/>
                <w:sz w:val="20"/>
                <w:szCs w:val="20"/>
                <w:lang w:eastAsia="id-ID"/>
              </w:rPr>
              <w:br/>
              <w:t>1. Muhammad Sopian Sag</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br/>
              <w:t>GERINDRA</w:t>
            </w:r>
            <w:r w:rsidRPr="00401428">
              <w:rPr>
                <w:rFonts w:ascii="Times New Roman" w:eastAsia="Times New Roman" w:hAnsi="Times New Roman" w:cs="Times New Roman"/>
                <w:color w:val="000000"/>
                <w:sz w:val="20"/>
                <w:szCs w:val="20"/>
                <w:lang w:eastAsia="id-ID"/>
              </w:rPr>
              <w:br/>
              <w:t xml:space="preserve">1. Erdarina Pelis SP </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br/>
              <w:t>PNBK</w:t>
            </w:r>
            <w:r w:rsidRPr="00401428">
              <w:rPr>
                <w:rFonts w:ascii="Times New Roman" w:eastAsia="Times New Roman" w:hAnsi="Times New Roman" w:cs="Times New Roman"/>
                <w:color w:val="000000"/>
                <w:sz w:val="20"/>
                <w:szCs w:val="20"/>
                <w:lang w:eastAsia="id-ID"/>
              </w:rPr>
              <w:br/>
              <w:t>1. Rino Andika Ssos</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br/>
              <w:t>PARTAI ACEH</w:t>
            </w:r>
            <w:r w:rsidRPr="00401428">
              <w:rPr>
                <w:rFonts w:ascii="Times New Roman" w:eastAsia="Times New Roman" w:hAnsi="Times New Roman" w:cs="Times New Roman"/>
                <w:color w:val="000000"/>
                <w:sz w:val="20"/>
                <w:szCs w:val="20"/>
                <w:lang w:eastAsia="id-ID"/>
              </w:rPr>
              <w:br/>
              <w:t xml:space="preserve">1. Ir Budimansyah </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br/>
              <w:t>PARTAI PATRIOT</w:t>
            </w:r>
            <w:r w:rsidRPr="00401428">
              <w:rPr>
                <w:rFonts w:ascii="Times New Roman" w:eastAsia="Times New Roman" w:hAnsi="Times New Roman" w:cs="Times New Roman"/>
                <w:color w:val="000000"/>
                <w:sz w:val="20"/>
                <w:szCs w:val="20"/>
                <w:lang w:eastAsia="id-ID"/>
              </w:rPr>
              <w:br/>
              <w:t>1. Syamsiar</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br/>
              <w:t>PDK</w:t>
            </w:r>
            <w:r w:rsidRPr="00401428">
              <w:rPr>
                <w:rFonts w:ascii="Times New Roman" w:eastAsia="Times New Roman" w:hAnsi="Times New Roman" w:cs="Times New Roman"/>
                <w:color w:val="000000"/>
                <w:sz w:val="20"/>
                <w:szCs w:val="20"/>
                <w:lang w:eastAsia="id-ID"/>
              </w:rPr>
              <w:br/>
              <w:t>1. Marhusin Brueh</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br/>
              <w:t>HANURA</w:t>
            </w:r>
            <w:r w:rsidRPr="00401428">
              <w:rPr>
                <w:rFonts w:ascii="Times New Roman" w:eastAsia="Times New Roman" w:hAnsi="Times New Roman" w:cs="Times New Roman"/>
                <w:color w:val="000000"/>
                <w:sz w:val="20"/>
                <w:szCs w:val="20"/>
                <w:lang w:eastAsia="id-ID"/>
              </w:rPr>
              <w:br/>
              <w:t>1. Bukkari</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br/>
              <w:t xml:space="preserve">Keanggotaan DPRD </w:t>
            </w:r>
            <w:r w:rsidRPr="00401428">
              <w:rPr>
                <w:rFonts w:ascii="Times New Roman" w:eastAsia="Times New Roman" w:hAnsi="Times New Roman" w:cs="Times New Roman"/>
                <w:color w:val="000000"/>
                <w:sz w:val="20"/>
                <w:szCs w:val="20"/>
                <w:lang w:eastAsia="id-ID"/>
              </w:rPr>
              <w:lastRenderedPageBreak/>
              <w:t xml:space="preserve">menyebar, dan hampir tidak ada partai dominan. Sebanyak 16 Partai Politik memiliki kursi legislatif di DPRD Aceh tenggara. Partai Golkar memiliki Kursi terbanyak, dan Bupati Incumbent (saat penelitian dilakukan merupakan Bupati Terpilih [brdasarkan Pilkada pada 9 Juli 2012]), merupakan kader Partai Golkar, yang mendapat dukungan dari sebagian besar partai politik di Agara. Bupati tidak menggunakan isu perluasan kawasan budidaya dalam kampanyenya, tapi sikap Bupati hasanuddin yang selama 5 tahun terakhir cukup intensif mendukung dan mengeluarkan kebijakan yang berorientasi penguatan kawasan budi daya; diperkirakan cukup memantik simpati masyarakat untuk memberikan suara kepadanya pada pemilukada beberapa waktu lalu. </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br/>
              <w:t xml:space="preserve">Pada kampanye Pilkada isu pengelolaan hutan lestari bukan merupakan isu seksi yang dapat meraih simpati massa. Bahkan Hasanuddin, Bupati Incumben, memperoleh suara terbanyak, karena kebijakan-kebijakannya selama memimpin berorientasi pada perluasan pemanfaatan lahan. Hasanuddin menerbitkan  kebiajak perluasan penanaan Kakao, dengan memberikan bantuan rubuan bibit. Disinyalir, penanaman bibit tersebit sebagian dilakukan di kawasan yang berstatus hutan </w:t>
            </w:r>
            <w:r w:rsidRPr="00401428">
              <w:rPr>
                <w:rFonts w:ascii="Times New Roman" w:eastAsia="Times New Roman" w:hAnsi="Times New Roman" w:cs="Times New Roman"/>
                <w:color w:val="000000"/>
                <w:sz w:val="20"/>
                <w:szCs w:val="20"/>
                <w:lang w:eastAsia="id-ID"/>
              </w:rPr>
              <w:lastRenderedPageBreak/>
              <w:t xml:space="preserve">lindung atau hutan konservasi. Tetapi kebijakan ini tidak diprotes legislatif, dan di pihak lain memantik simpati masyarakat.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2</w:t>
            </w:r>
          </w:p>
        </w:tc>
      </w:tr>
      <w:tr w:rsidR="00401428" w:rsidRPr="00401428" w:rsidTr="00401428">
        <w:trPr>
          <w:trHeight w:val="2805"/>
        </w:trPr>
        <w:tc>
          <w:tcPr>
            <w:tcW w:w="714"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11"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PU</w:t>
            </w:r>
          </w:p>
        </w:tc>
        <w:tc>
          <w:tcPr>
            <w:tcW w:w="1696" w:type="dxa"/>
            <w:tcBorders>
              <w:top w:val="nil"/>
              <w:left w:val="nil"/>
              <w:bottom w:val="single" w:sz="4" w:space="0" w:color="auto"/>
              <w:right w:val="single" w:sz="4" w:space="0" w:color="auto"/>
            </w:tcBorders>
            <w:shd w:val="clear" w:color="000000" w:fill="000000"/>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w:t>
            </w:r>
          </w:p>
        </w:tc>
        <w:tc>
          <w:tcPr>
            <w:tcW w:w="1139" w:type="dxa"/>
            <w:tcBorders>
              <w:top w:val="nil"/>
              <w:left w:val="nil"/>
              <w:bottom w:val="single" w:sz="4" w:space="0" w:color="auto"/>
              <w:right w:val="single" w:sz="4" w:space="0" w:color="auto"/>
            </w:tcBorders>
            <w:shd w:val="clear" w:color="000000" w:fill="000000"/>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Anggota legislatif kan dipilih langsung oleh masyarakat. Mereka lebih menonjolkan aspek politik dari kemampuan politik mereka. Yang saya tahu, tidak banyak anggota legislatif yang berlatar belakang kehutanan atau memiliki konsen yang kuat untuk bicara masalah kehutanan. Kalau Erdawati dulu aktivis yang bergerak di bidang lingkungan, ada juga Bukhari orang yang juga sering bicara lingkungan. Tapi secara keseluruhan, jumlahnya tidak banyak. Saya tidak tahu persis, tapi kita memang membutuhkan anggota legislatif yang memahami betul hal-</w:t>
            </w:r>
            <w:r w:rsidRPr="00401428">
              <w:rPr>
                <w:rFonts w:ascii="Times New Roman" w:eastAsia="Times New Roman" w:hAnsi="Times New Roman" w:cs="Times New Roman"/>
                <w:color w:val="000000"/>
                <w:sz w:val="20"/>
                <w:szCs w:val="20"/>
                <w:lang w:eastAsia="id-ID"/>
              </w:rPr>
              <w:lastRenderedPageBreak/>
              <w:t>hal yang terkait dengan isu kehutanan dan mau berjuang dalam isu penyelamatan lingkungan di Aceh Tenggara.</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2</w:t>
            </w:r>
          </w:p>
        </w:tc>
      </w:tr>
      <w:tr w:rsidR="00401428" w:rsidRPr="00401428" w:rsidTr="00401428">
        <w:trPr>
          <w:trHeight w:val="2295"/>
        </w:trPr>
        <w:tc>
          <w:tcPr>
            <w:tcW w:w="714"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11"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LSM</w:t>
            </w:r>
          </w:p>
        </w:tc>
        <w:tc>
          <w:tcPr>
            <w:tcW w:w="1696" w:type="dxa"/>
            <w:tcBorders>
              <w:top w:val="nil"/>
              <w:left w:val="nil"/>
              <w:bottom w:val="single" w:sz="4" w:space="0" w:color="auto"/>
              <w:right w:val="single" w:sz="4" w:space="0" w:color="auto"/>
            </w:tcBorders>
            <w:shd w:val="clear" w:color="000000" w:fill="000000"/>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w:t>
            </w:r>
          </w:p>
        </w:tc>
        <w:tc>
          <w:tcPr>
            <w:tcW w:w="1139" w:type="dxa"/>
            <w:tcBorders>
              <w:top w:val="nil"/>
              <w:left w:val="nil"/>
              <w:bottom w:val="single" w:sz="4" w:space="0" w:color="auto"/>
              <w:right w:val="single" w:sz="4" w:space="0" w:color="auto"/>
            </w:tcBorders>
            <w:shd w:val="clear" w:color="000000" w:fill="000000"/>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Anggota legislatif kurang perhatian terhadap isu lingkungan. Ada satu orang awan kita yang menjadi anggota legislatif. Tapi dia sendiri. Tidak banyak yang dapat dia perbuat, karena anggota yang lain tidak punya perhatian terhadap masalah hutan berkelanjutan. Bahkan mereka tidak mengerti masalah hutan. Itulah masalah yang kita hadapi. Dulu waktu 2009, kawan-kawan kita juga maju dipencalonan legislatuf. Tapi mereka tidak punya modal, sehingga yang terpilih orang-orang yang kurang mengerti masalah hutan.</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2</w:t>
            </w:r>
          </w:p>
        </w:tc>
      </w:tr>
      <w:tr w:rsidR="00401428" w:rsidRPr="00401428" w:rsidTr="00401428">
        <w:trPr>
          <w:trHeight w:val="3570"/>
        </w:trPr>
        <w:tc>
          <w:tcPr>
            <w:tcW w:w="714"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11"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Legislator</w:t>
            </w:r>
          </w:p>
        </w:tc>
        <w:tc>
          <w:tcPr>
            <w:tcW w:w="1696" w:type="dxa"/>
            <w:tcBorders>
              <w:top w:val="nil"/>
              <w:left w:val="nil"/>
              <w:bottom w:val="single" w:sz="4" w:space="0" w:color="auto"/>
              <w:right w:val="single" w:sz="4" w:space="0" w:color="auto"/>
            </w:tcBorders>
            <w:shd w:val="clear" w:color="000000" w:fill="000000"/>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w:t>
            </w:r>
          </w:p>
        </w:tc>
        <w:tc>
          <w:tcPr>
            <w:tcW w:w="1139" w:type="dxa"/>
            <w:tcBorders>
              <w:top w:val="nil"/>
              <w:left w:val="nil"/>
              <w:bottom w:val="single" w:sz="4" w:space="0" w:color="auto"/>
              <w:right w:val="single" w:sz="4" w:space="0" w:color="auto"/>
            </w:tcBorders>
            <w:shd w:val="clear" w:color="000000" w:fill="000000"/>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w:t>
            </w: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Erda Rina Pili merupakan aktivis lingkungan yang kemudian duduk di legislatif mewakili Partai Gerinda. Masih muda, aktif dan energik. Selalu bersuara kritis antara lain dalam berbicara tentang isu kehutanan.  Menurutnya, hanya dia sendiri yang kemarin bersikeras menolak pengalih fungsia Hutan Lindung menjadi APL. Penolakan lebih dikarenakan prosedur yang ditempuh pemerintah daerah tidak tepat, karena dalam tata ruang kabupaten disebutkan pengalih-fungsian </w:t>
            </w:r>
            <w:r w:rsidRPr="00401428">
              <w:rPr>
                <w:rFonts w:ascii="Times New Roman" w:eastAsia="Times New Roman" w:hAnsi="Times New Roman" w:cs="Times New Roman"/>
                <w:color w:val="000000"/>
                <w:sz w:val="20"/>
                <w:szCs w:val="20"/>
                <w:lang w:eastAsia="id-ID"/>
              </w:rPr>
              <w:lastRenderedPageBreak/>
              <w:t xml:space="preserve">kawasan, tetapi di tata ruang propinsi dan pusat belum di rubah,  Kata Erda: Saya merasa sendiri memperjuangkan isu kehutanan di lagislatif. Kemari waktu membahas tata ruang, saya sendiri yang ngotot menolak pengalih-fungsian kawasan lindung menjadi APL (Area Penggunaan Lain). Tapi suara saya satu,. Saya sempat di usir dari ruang persidangan.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2</w:t>
            </w:r>
          </w:p>
        </w:tc>
      </w:tr>
      <w:tr w:rsidR="00401428" w:rsidRPr="00401428" w:rsidTr="00401428">
        <w:trPr>
          <w:trHeight w:val="1785"/>
        </w:trPr>
        <w:tc>
          <w:tcPr>
            <w:tcW w:w="714"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11"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Jurnalis</w:t>
            </w:r>
          </w:p>
        </w:tc>
        <w:tc>
          <w:tcPr>
            <w:tcW w:w="1696" w:type="dxa"/>
            <w:tcBorders>
              <w:top w:val="nil"/>
              <w:left w:val="nil"/>
              <w:bottom w:val="single" w:sz="4" w:space="0" w:color="auto"/>
              <w:right w:val="single" w:sz="4" w:space="0" w:color="auto"/>
            </w:tcBorders>
            <w:shd w:val="clear" w:color="000000" w:fill="000000"/>
            <w:noWrap/>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w:t>
            </w:r>
          </w:p>
        </w:tc>
        <w:tc>
          <w:tcPr>
            <w:tcW w:w="1139" w:type="dxa"/>
            <w:tcBorders>
              <w:top w:val="nil"/>
              <w:left w:val="nil"/>
              <w:bottom w:val="single" w:sz="4" w:space="0" w:color="auto"/>
              <w:right w:val="single" w:sz="4" w:space="0" w:color="auto"/>
            </w:tcBorders>
            <w:shd w:val="clear" w:color="000000" w:fill="000000"/>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Setahu saya hanya Erdarina yang perhatian terhadap isu lingkungan. Anggota legislatif lainnya tidak begitu terlihat. Secara umum legislator yang memiliki perhatian terhadap kelestarian lingkungan memang sangat rendah, karena memang sejak sebelum menjadi legislator mereka tidak konsen terhadap persoalan-persoalan lingkungan. Sehingga, dukungan di legislatif untuk perjuangan lingkungan masih cukup sulit.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2</w:t>
            </w: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Isu dalam PGA REDD+</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821"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II. Pengaturan Hak  </w:t>
            </w: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540"/>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401428" w:rsidRPr="00401428" w:rsidTr="00401428">
        <w:trPr>
          <w:trHeight w:val="34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single" w:sz="4" w:space="0" w:color="auto"/>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 Direktur Perencanaan Kawasan Hutan dan Biro Hukum,  Kepala Bagian Perlindungan Hutan   provinsi/kabupaten </w:t>
            </w: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BIIa1</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Kondisi realisasi rencana kebutuhan SDM </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rencana kebutuhan SDM sudah terpenuhi?</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didapatkan dokumen yang relevan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Terpenuhi, tetapi tidak semuanya. Masih banyak diperlukan SDM, terutama di unit perencanaan. Karena latar belakang pendidikan sebagian perencana belum sesuai dengan kualifikasi.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2</w:t>
            </w:r>
          </w:p>
        </w:tc>
      </w:tr>
      <w:tr w:rsidR="00401428" w:rsidRPr="00401428" w:rsidTr="00401428">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BIIa2</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Memiliki pendidikan S1 di bidang terkait dengan kehutanan </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didapatkan dokumen yang relevan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Jawaban ditujukan untuk yang bertugas mengadiministrasikan hak masyarakat saja, karena di Aceh Tenggara tidak ada perusahaan yang beroperasi di kabupaten ini.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4</w:t>
            </w:r>
          </w:p>
        </w:tc>
      </w:tr>
      <w:tr w:rsidR="00401428" w:rsidRPr="00401428" w:rsidTr="00401428">
        <w:trPr>
          <w:trHeight w:val="20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BIIa3</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SDM  yang bertugas pada Unit yang mengadministrasikan hak masyarakat dan bisnis di ins-titusi Anda, memilki pengalaman kerja mengadministrasikan hak-hak masyarakat dan bisnis  selama 3 tahun?</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didapatkan dokumen yang relevan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Kalau mengadministrasikan hak masyarakat sudah lama dan cukup memadai, tetapi kalau mengadministrasikan masyarakt bisnis tidak memiliki pengalaman, karena di Aceh Tenggara di ada pernah menerbitkan izin untuk perusahaan yang bergerak di bidang kehutanan.</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20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BIIa4</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Pelatihan yang terkait dengan pengadministrasiaan hak-hak masyarakat dan bisnis</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SDM  yang bertugas pada Unit yang mengadministrasikan hak masyarakat dan bisnis di ins-titusi Anda pernah mengikuti pe-latihan yang terkait dengan peng-administrasiaan hak-hak masya-rakat dan bisnis?</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didapatkan dokumen yang relevan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Ada, tapi hanya beberapa orang saja. Antara lain Azen Kurnia.</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401428" w:rsidRPr="00401428" w:rsidTr="00401428">
        <w:trPr>
          <w:trHeight w:val="630"/>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22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BIIb1</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Jumlah dana yang dialokasikan dalam DIPA untuk mengadmi-nistrasikan hak masyarakat dan bisnis  pada Unit yang mengad-ministrasikan hak masyarakat dan bisnis di Kementerian/SKPD</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Bagaimana jumlah dana untuk komponen pengadministrasian hak masyarakat dan bisnis dialoka-sikan dalam DIPA?</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DIPA Tahun 2009, 2010 dan 2011</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Berdasarkan informasi yang dikumpulkan diketahui bahwa dana untuk komponen pengadministrasian masyarakat selalu dialokasikan dalam DIPA.</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540"/>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c. Mekanisme kerjasama antara unit yang mengadministrasikan hak masyarakat dan bisnis di kawasan   hutan dengan organisasi masyarakat adat/lokal dan asosiasi usaha </w:t>
            </w:r>
          </w:p>
        </w:tc>
      </w:tr>
      <w:tr w:rsidR="00401428" w:rsidRPr="00401428" w:rsidTr="00401428">
        <w:trPr>
          <w:trHeight w:val="2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single" w:sz="4" w:space="0" w:color="auto"/>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BIIc1</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Komponen Mekanisme-1: Pembagian tugas &amp; tanggung jawab setiap pihak</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Bagaimana pendapat Anda mengenai pembagian tugas &amp; tanggung jawab setiap pihak dalam mekanisme kerjasama antara unit?</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 dokumen yang relevan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Pertanyaan tidak dijawab, karena tidak ada mekanisme kerjasama antara unit yang mengadministrasikan  dengan organissi masyarakat atat/lokal atau asosiasi usaha. Tidak ada asosiasi usaha.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r>
      <w:tr w:rsidR="00401428" w:rsidRPr="00401428" w:rsidTr="00401428">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BIIc2</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Komponen Mekanisme-2: Tahapan pelaksanaan kerjasama</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 dokumen yang relevan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000000" w:fill="FFFF00"/>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informan tidak menjawab</w:t>
            </w:r>
          </w:p>
        </w:tc>
        <w:tc>
          <w:tcPr>
            <w:tcW w:w="1382" w:type="dxa"/>
            <w:tcBorders>
              <w:top w:val="nil"/>
              <w:left w:val="nil"/>
              <w:bottom w:val="single" w:sz="4" w:space="0" w:color="auto"/>
              <w:right w:val="single" w:sz="4" w:space="0" w:color="auto"/>
            </w:tcBorders>
            <w:shd w:val="clear" w:color="000000" w:fill="FFFF00"/>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w:t>
            </w:r>
          </w:p>
        </w:tc>
      </w:tr>
      <w:tr w:rsidR="00401428" w:rsidRPr="00401428" w:rsidTr="00401428">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BIIc3</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Komponen Mekanisme-3: Mekanisme pengambilan keputusan</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Mekanisme pengambilan keputus-an dalam kerjasama antara unit?</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 dokumen yang relevan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000000" w:fill="FFFF00"/>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informan tidak menjawab</w:t>
            </w:r>
          </w:p>
        </w:tc>
        <w:tc>
          <w:tcPr>
            <w:tcW w:w="1382" w:type="dxa"/>
            <w:tcBorders>
              <w:top w:val="nil"/>
              <w:left w:val="nil"/>
              <w:bottom w:val="single" w:sz="4" w:space="0" w:color="auto"/>
              <w:right w:val="single" w:sz="4" w:space="0" w:color="auto"/>
            </w:tcBorders>
            <w:shd w:val="clear" w:color="000000" w:fill="FFFF00"/>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w:t>
            </w:r>
          </w:p>
        </w:tc>
      </w:tr>
      <w:tr w:rsidR="00401428" w:rsidRPr="00401428" w:rsidTr="00401428">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BIIc4</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Komponen Mekanisme-4: </w:t>
            </w:r>
            <w:r w:rsidRPr="00401428">
              <w:rPr>
                <w:rFonts w:ascii="Times New Roman" w:eastAsia="Times New Roman" w:hAnsi="Times New Roman" w:cs="Times New Roman"/>
                <w:color w:val="000000"/>
                <w:sz w:val="20"/>
                <w:szCs w:val="20"/>
                <w:lang w:eastAsia="id-ID"/>
              </w:rPr>
              <w:br/>
              <w:t>Tata waktu pelaksanaan kerjasama</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Tata waktu pelaksanaan kerjasama dalam mekanisme kerjasama antara unit?</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 dokumen yang relevan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000000" w:fill="FFFF00"/>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informan tidak menjawab</w:t>
            </w:r>
          </w:p>
        </w:tc>
        <w:tc>
          <w:tcPr>
            <w:tcW w:w="1382" w:type="dxa"/>
            <w:tcBorders>
              <w:top w:val="nil"/>
              <w:left w:val="nil"/>
              <w:bottom w:val="single" w:sz="4" w:space="0" w:color="auto"/>
              <w:right w:val="single" w:sz="4" w:space="0" w:color="auto"/>
            </w:tcBorders>
            <w:shd w:val="clear" w:color="000000" w:fill="FFFF00"/>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w:t>
            </w:r>
          </w:p>
        </w:tc>
      </w:tr>
      <w:tr w:rsidR="00401428" w:rsidRPr="00401428" w:rsidTr="00401428">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BIIc5</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Komponen Mekanisme-5: Mekanisme pelaporan hasil pelaksanaan kerjasama</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Mekanisme pelaporan hasil pelak-sanaan kerjasama dalam kerjasa-ma antara unit?</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 dokumen yang relevan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000000" w:fill="FFFF00"/>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informan tidak menjawab</w:t>
            </w:r>
          </w:p>
        </w:tc>
        <w:tc>
          <w:tcPr>
            <w:tcW w:w="1382" w:type="dxa"/>
            <w:tcBorders>
              <w:top w:val="nil"/>
              <w:left w:val="nil"/>
              <w:bottom w:val="single" w:sz="4" w:space="0" w:color="auto"/>
              <w:right w:val="single" w:sz="4" w:space="0" w:color="auto"/>
            </w:tcBorders>
            <w:shd w:val="clear" w:color="000000" w:fill="FFFF00"/>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w:t>
            </w: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34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401428" w:rsidRPr="00401428" w:rsidTr="00401428">
        <w:trPr>
          <w:trHeight w:val="2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single" w:sz="4" w:space="0" w:color="auto"/>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51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BIId1</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Kondisi realisasi rencana kebutuhan SDM </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rencana kebutuhan SDM sudah terpenuhi?</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 dokumen yang relevan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Rencana kebutuhan pemenuhan SDM di bidang perencanaan masih sangat kurang, kita masih banyak kekuarangan tenaga.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BIId2</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Memiliki pendidikan S1 di bidang terkait dengan kehutanan </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terkait dengan ke-hutanan? </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 dokumen yang relevan, tapi orang yang bersangkutan meang berlatar belakang kehutanan.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Rencana kebutuhan pemenuhan SDM di bidang perencanaan masih sangat kurang, skalanya dapat dikatakan cukup memadai.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BIId3</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Memilki sertifikat sebagai mediator dalam penanganan</w:t>
            </w:r>
            <w:r w:rsidRPr="00401428">
              <w:rPr>
                <w:rFonts w:ascii="Times New Roman" w:eastAsia="Times New Roman" w:hAnsi="Times New Roman" w:cs="Times New Roman"/>
                <w:color w:val="000000"/>
                <w:sz w:val="20"/>
                <w:szCs w:val="20"/>
                <w:lang w:eastAsia="id-ID"/>
              </w:rPr>
              <w:br/>
              <w:t>konflik hak atas hutan</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SDM  yang bertugas pada Unit yang menangani konflik hak atas hutan memilki sertifikat sebagai mediator di bidang konflik hak atas hutan?</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 sertifikat</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Tidak ada SDM yang memiliki sertifikat di bidang penyelesaian konflik.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r>
      <w:tr w:rsidR="00401428" w:rsidRPr="00401428" w:rsidTr="00401428">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BIId4</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Memiliki pengalaman kerja sebagai mediator yang menangani konflik hak atas hutan</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SDM  yang bertugas pada Unit yang menangani konflik hak atas hutan memiliki pengalaman kerja sebagai mediator di bidang konflik hak atas hutan</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 dokumen yang relevan, hanya berdasarkan informasi yang bersangkutan.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Tetapi meskipun secara teknis di bidang latar belakang pendidikan, SDM yang menangani konflik hak atas nama hutan tidak memiliki sertifikat misalnya, tapi karena semuanya ditempa secara otodidak, maka saya kira hasilnya mendekati </w:t>
            </w:r>
            <w:r w:rsidRPr="00401428">
              <w:rPr>
                <w:rFonts w:ascii="Times New Roman" w:eastAsia="Times New Roman" w:hAnsi="Times New Roman" w:cs="Times New Roman"/>
                <w:color w:val="000000"/>
                <w:sz w:val="20"/>
                <w:szCs w:val="20"/>
                <w:lang w:eastAsia="id-ID"/>
              </w:rPr>
              <w:lastRenderedPageBreak/>
              <w:t xml:space="preserve">apa yang diinginkan oleh dinas. Meskipun ada kekurangan sedikit, saya kira itu masih bisa dimaklumi.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3</w:t>
            </w: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6087" w:type="dxa"/>
            <w:gridSpan w:val="4"/>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5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BIIe1</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Jumlah dana yang dialokasikan dalam DIPA untuk menyele-saikan konflik di Instansi Kehutanan </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Bagaimana jumlah dana yang dialokasikan dalam DIPA untuk menyelesaikan konflik di Instansi Kehutanan?</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DIPA Tahun 2009. 2010, 2011. Tapi setelah diperiksa tidak ada item dana yang secara khusus dianggarkan untuk penyelesaian konflik kehutanan.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Jumlah dana yang dialokasikan dalam DIPA untuk penyelesaian konflik tergolong memadai, jumlah dana yang dialokasikan sesuai dengan yang diusulkan atau hampir sama dengan yang diusulkan. Walaupun begini, dari sumber APBK (Kabuaten), kita tidak memiliki dana untuk itu. Dana itu seringkali bersumber dari propinsi, dan dana yang bersumber dari propinsi jumlahnya mendekati dari kita usulkan.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4</w:t>
            </w: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Isu dalam PGA REDD+</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821"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III. Pengorganisasian Hutan </w:t>
            </w: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630"/>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401428" w:rsidRPr="00401428" w:rsidTr="00401428">
        <w:trPr>
          <w:trHeight w:val="2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single" w:sz="4" w:space="0" w:color="auto"/>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 Kepala TN, BKSDA, KPH Provinsi/Kabupaten </w:t>
            </w: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BIIIa1</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Jumlah SDM yang memiliki kua-lifikasi  teknis dan fasilitasi pro-ses para pihak di unit pengelo-laan hutan dan lahan gambut (KPH)</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jumlah SDM yang memiliki kualifikasi  teknis dan fasilitasi pro-ses para pihak di unit pengelolaan hutan dan lahan gambut (KPH) sudah memadai?</w:t>
            </w:r>
          </w:p>
        </w:tc>
        <w:tc>
          <w:tcPr>
            <w:tcW w:w="1125" w:type="dxa"/>
            <w:tcBorders>
              <w:top w:val="nil"/>
              <w:left w:val="nil"/>
              <w:bottom w:val="single" w:sz="4" w:space="0" w:color="auto"/>
              <w:right w:val="single" w:sz="4" w:space="0" w:color="auto"/>
            </w:tcBorders>
            <w:shd w:val="clear" w:color="000000" w:fill="F2DDDC"/>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KPH</w:t>
            </w:r>
          </w:p>
        </w:tc>
        <w:tc>
          <w:tcPr>
            <w:tcW w:w="6344" w:type="dxa"/>
            <w:gridSpan w:val="4"/>
            <w:vMerge w:val="restart"/>
            <w:tcBorders>
              <w:top w:val="single" w:sz="4" w:space="0" w:color="auto"/>
              <w:left w:val="single" w:sz="4" w:space="0" w:color="auto"/>
              <w:bottom w:val="single" w:sz="4" w:space="0" w:color="000000"/>
              <w:right w:val="single" w:sz="4" w:space="0" w:color="000000"/>
            </w:tcBorders>
            <w:shd w:val="clear" w:color="000000" w:fill="F2DDDC"/>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w:t>
            </w:r>
          </w:p>
        </w:tc>
      </w:tr>
      <w:tr w:rsidR="00401428" w:rsidRPr="00401428" w:rsidTr="00401428">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BIIIa2</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Memiliki pendidikan S1 di bidang kehutanan atau terkait</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bidang kehutanan atau terkait? </w:t>
            </w:r>
          </w:p>
        </w:tc>
        <w:tc>
          <w:tcPr>
            <w:tcW w:w="1125" w:type="dxa"/>
            <w:tcBorders>
              <w:top w:val="nil"/>
              <w:left w:val="nil"/>
              <w:bottom w:val="single" w:sz="4" w:space="0" w:color="auto"/>
              <w:right w:val="single" w:sz="4" w:space="0" w:color="auto"/>
            </w:tcBorders>
            <w:shd w:val="clear" w:color="000000" w:fill="F2DDDC"/>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KPH</w:t>
            </w:r>
          </w:p>
        </w:tc>
        <w:tc>
          <w:tcPr>
            <w:tcW w:w="6344" w:type="dxa"/>
            <w:gridSpan w:val="4"/>
            <w:vMerge/>
            <w:tcBorders>
              <w:top w:val="nil"/>
              <w:left w:val="nil"/>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r>
      <w:tr w:rsidR="00401428" w:rsidRPr="00401428" w:rsidTr="00401428">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BIIIa3</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Pernah mendapatkan pelatihan menjadi fasilitator </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Apakah SDM  yang bertugas pada Unit pengelolaan hutan dan lahan gambut (KPH) pernah mendapat-kan pelatihan menjadi fasilitator? </w:t>
            </w:r>
          </w:p>
        </w:tc>
        <w:tc>
          <w:tcPr>
            <w:tcW w:w="1125" w:type="dxa"/>
            <w:tcBorders>
              <w:top w:val="nil"/>
              <w:left w:val="nil"/>
              <w:bottom w:val="single" w:sz="4" w:space="0" w:color="auto"/>
              <w:right w:val="single" w:sz="4" w:space="0" w:color="auto"/>
            </w:tcBorders>
            <w:shd w:val="clear" w:color="000000" w:fill="F2DDDC"/>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KPH</w:t>
            </w:r>
          </w:p>
        </w:tc>
        <w:tc>
          <w:tcPr>
            <w:tcW w:w="6344" w:type="dxa"/>
            <w:gridSpan w:val="4"/>
            <w:vMerge/>
            <w:tcBorders>
              <w:top w:val="nil"/>
              <w:left w:val="nil"/>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r>
      <w:tr w:rsidR="00401428" w:rsidRPr="00401428" w:rsidTr="00401428">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BIIIa4</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Memiliki pengalaman memfasi-litasi proses partisipasi para pihak dalam pengelolaan hutan</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SDM  yang bertugas pada Unit pengelolaan hutan dan lahan gambut (KPH) memiliki pengalam-an memfasilitasi proses partisipasi para pihak dalam pengelolaan hutan?</w:t>
            </w:r>
          </w:p>
        </w:tc>
        <w:tc>
          <w:tcPr>
            <w:tcW w:w="1125" w:type="dxa"/>
            <w:tcBorders>
              <w:top w:val="nil"/>
              <w:left w:val="nil"/>
              <w:bottom w:val="single" w:sz="4" w:space="0" w:color="auto"/>
              <w:right w:val="single" w:sz="4" w:space="0" w:color="auto"/>
            </w:tcBorders>
            <w:shd w:val="clear" w:color="000000" w:fill="F2DDDC"/>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KPH</w:t>
            </w:r>
          </w:p>
        </w:tc>
        <w:tc>
          <w:tcPr>
            <w:tcW w:w="6344" w:type="dxa"/>
            <w:gridSpan w:val="4"/>
            <w:vMerge/>
            <w:tcBorders>
              <w:top w:val="nil"/>
              <w:left w:val="nil"/>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570"/>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401428" w:rsidRPr="00401428" w:rsidTr="00401428">
        <w:trPr>
          <w:trHeight w:val="2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single" w:sz="4" w:space="0" w:color="auto"/>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 Kepala TN, BKSDA, KPH Provinsi/Kabupaten</w:t>
            </w: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204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BIIIb1</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w:t>
            </w:r>
            <w:r w:rsidRPr="00401428">
              <w:rPr>
                <w:rFonts w:ascii="Times New Roman" w:eastAsia="Times New Roman" w:hAnsi="Times New Roman" w:cs="Times New Roman"/>
                <w:color w:val="000000"/>
                <w:sz w:val="20"/>
                <w:szCs w:val="20"/>
                <w:lang w:eastAsia="id-ID"/>
              </w:rPr>
              <w:lastRenderedPageBreak/>
              <w:t>t</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Bagaimana jumlah dana yang di-alokasikan oleh unit pengelolaan hutan dan lahan gambut (KPH) un-tuk melakukan pengelolaan ka-wasan hutan bersama masyara-kat?</w:t>
            </w:r>
          </w:p>
        </w:tc>
        <w:tc>
          <w:tcPr>
            <w:tcW w:w="1125" w:type="dxa"/>
            <w:tcBorders>
              <w:top w:val="nil"/>
              <w:left w:val="nil"/>
              <w:bottom w:val="single" w:sz="4" w:space="0" w:color="auto"/>
              <w:right w:val="single" w:sz="4" w:space="0" w:color="auto"/>
            </w:tcBorders>
            <w:shd w:val="clear" w:color="000000" w:fill="F2DDDC"/>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KPH</w:t>
            </w:r>
          </w:p>
        </w:tc>
        <w:tc>
          <w:tcPr>
            <w:tcW w:w="6344" w:type="dxa"/>
            <w:gridSpan w:val="4"/>
            <w:tcBorders>
              <w:top w:val="single" w:sz="4" w:space="0" w:color="auto"/>
              <w:left w:val="nil"/>
              <w:bottom w:val="single" w:sz="4" w:space="0" w:color="auto"/>
              <w:right w:val="single" w:sz="4" w:space="0" w:color="000000"/>
            </w:tcBorders>
            <w:shd w:val="clear" w:color="000000" w:fill="F2DDDC"/>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w:t>
            </w: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3416" w:type="dxa"/>
            <w:gridSpan w:val="3"/>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Isu dalam PGA REDD+</w:t>
            </w:r>
          </w:p>
        </w:tc>
        <w:tc>
          <w:tcPr>
            <w:tcW w:w="6087" w:type="dxa"/>
            <w:gridSpan w:val="4"/>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3960" w:type="dxa"/>
            <w:gridSpan w:val="3"/>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a. Jumlah luas kawasan hutan yang dialokasikan untuk masyarakat(?)</w:t>
            </w:r>
          </w:p>
        </w:tc>
        <w:tc>
          <w:tcPr>
            <w:tcW w:w="2127"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2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6087" w:type="dxa"/>
            <w:gridSpan w:val="4"/>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745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BIVa1</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Jumlah luas kawasan hutan yang dialokasikan untuk masyarakat</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Berapa jumlah luas kawasan hutan yang dialokasikan untuk masyara-kat?</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Berdasarkan Qanun No 1 Tahun 2010 tentang Revisi Tata Ruang Kabupaten Aceh tenggara Tahun 2010, Arena Penggunaan Lain berubah menjadi 63.103 Ha (14,91%), Kawasan Lindung berubah menjadi 79.865 Ha (18.88%)), dan Hutan Konservasi berubah menjadi 280.160 Ha (66,21%).</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 Mengenai kawasan yang dialokasikan untuk masyarakat, peruntukan keruangan kita ada tiga macam, yakni kawasan lindung, kawasan konservasi, dan arena penggunaan lain.  Informasi atau pembagian mengenai berapa jumlah hutan desa atau hutan masyarakat, itu tidak ada.  </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br/>
              <w:t xml:space="preserve">Kalau awal pembentukan kabupaten, kawasan hutan ini didasarkan oleh SK Gubernur tahun 1999, saat pembentukan Kabupaten Aceh Tenggara.  Berdasarkan SK Gubernur 19 Tahun 1999 Tanggal 19 Mei 1999, peruntukan keruangan Kabupaten Aceh Ternggara terbali tiga, yakni : (1) Areal Penggunaan Lain 47.349 Ha (11.19 %), (2) Hutan Lindung seluas 95.619.190 Ha (22,60%), (3) Hutan Konservasi seluas 280.160,940 Ha (66,21%). Total luas wilayah sebesar 423.129 Ha.  Lalu berdasarkan Qanun No 1 Tahun 2010 tentang Revisi Tata Ruang Kabupaten Aceh tenggara Tahun 2010, </w:t>
            </w:r>
            <w:r w:rsidRPr="00401428">
              <w:rPr>
                <w:rFonts w:ascii="Times New Roman" w:eastAsia="Times New Roman" w:hAnsi="Times New Roman" w:cs="Times New Roman"/>
                <w:color w:val="000000"/>
                <w:sz w:val="20"/>
                <w:szCs w:val="20"/>
                <w:lang w:eastAsia="id-ID"/>
              </w:rPr>
              <w:lastRenderedPageBreak/>
              <w:t xml:space="preserve">Arena Penggunaan Lain berubah menjadi 63.103 Ha (14,91%), Kawasan Lindung berubah menjadi 79.865 Ha (18.88%)), dan Hutan Konservasi berubah menjadi 280.160 Ha (66,21%). </w:t>
            </w:r>
            <w:r w:rsidRPr="00401428">
              <w:rPr>
                <w:rFonts w:ascii="Times New Roman" w:eastAsia="Times New Roman" w:hAnsi="Times New Roman" w:cs="Times New Roman"/>
                <w:color w:val="000000"/>
                <w:sz w:val="20"/>
                <w:szCs w:val="20"/>
                <w:lang w:eastAsia="id-ID"/>
              </w:rPr>
              <w:br/>
              <w:t xml:space="preserve">Tetapi RTRWK Agara sampai saat ini belum mendapat pengukuhan. Baru disahkan ditingkat kabupaten atau DPRK Agara, tetapi belum disahkan pihak propinsi maupun pemerintah pusat.  Yang menjadi sumber perdebatan adalah terkait dengan usulan pembentukan kecamatan Lauser yang Tapi saya melihat masyarakat sangat berharap apa yang diusulkan pihak perintah daerah dapat diterima pemerintah propinsi dan pemerintah pusat. Karena masyarakat sangat membutuhkan lahan. Pertumbuhan penduduk di satu pihak dan keterbatasan lahan APL di Agara menjadikan kehidupan semakin menyempit apabila tidak dilakukan perluasan APL. Pembentukan Kecamatan Lauser memiliki justifikasi yang kuat, karena memang sebelumnya merupakan area HP yang sudah habis masa izinnya, kemudian tidak ada hutannya, dan kita mengusulkan kawasan itu menjadi area budidaya. </w:t>
            </w:r>
            <w:r w:rsidRPr="00401428">
              <w:rPr>
                <w:rFonts w:ascii="Times New Roman" w:eastAsia="Times New Roman" w:hAnsi="Times New Roman" w:cs="Times New Roman"/>
                <w:color w:val="000000"/>
                <w:sz w:val="20"/>
                <w:szCs w:val="20"/>
                <w:lang w:eastAsia="id-ID"/>
              </w:rPr>
              <w:br/>
              <w:t xml:space="preserve">Status upaya tersebut saat ini sudah dibahas di bappeda Propinsi dan sudah disampaikan ke Dinas kehutanan Pusat, dan sampai sekarang kita masih menunggu respon. Memang sampai sekarang ini status kawasan tersebut </w:t>
            </w:r>
            <w:r w:rsidRPr="00401428">
              <w:rPr>
                <w:rFonts w:ascii="Times New Roman" w:eastAsia="Times New Roman" w:hAnsi="Times New Roman" w:cs="Times New Roman"/>
                <w:color w:val="000000"/>
                <w:sz w:val="20"/>
                <w:szCs w:val="20"/>
                <w:lang w:eastAsia="id-ID"/>
              </w:rPr>
              <w:lastRenderedPageBreak/>
              <w:t xml:space="preserve">secara The Jure memanng hutan lindung, tapi juga harus disadari bahwa sudah belasan tahun daerah tersebit sudah ada pemukiman masyarakat.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1</w:t>
            </w: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r>
      <w:tr w:rsidR="00401428" w:rsidRPr="00401428" w:rsidTr="00401428">
        <w:trPr>
          <w:trHeight w:val="300"/>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6087" w:type="dxa"/>
            <w:gridSpan w:val="4"/>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7440"/>
        </w:trPr>
        <w:tc>
          <w:tcPr>
            <w:tcW w:w="714" w:type="dxa"/>
            <w:tcBorders>
              <w:top w:val="nil"/>
              <w:left w:val="single" w:sz="4" w:space="0" w:color="auto"/>
              <w:bottom w:val="single" w:sz="4" w:space="0" w:color="auto"/>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BIVb1</w:t>
            </w:r>
          </w:p>
        </w:tc>
        <w:tc>
          <w:tcPr>
            <w:tcW w:w="1111" w:type="dxa"/>
            <w:tcBorders>
              <w:top w:val="nil"/>
              <w:left w:val="single" w:sz="4" w:space="0" w:color="auto"/>
              <w:bottom w:val="single" w:sz="4" w:space="0" w:color="auto"/>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Jumlah Unit Pengelola Hutan (KPHP/KPHL) yang telah diben-tuk dan operasional di Provinsi/ Kabupaten/Kota</w:t>
            </w:r>
          </w:p>
        </w:tc>
        <w:tc>
          <w:tcPr>
            <w:tcW w:w="1591" w:type="dxa"/>
            <w:tcBorders>
              <w:top w:val="nil"/>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jumlah Unit Pengelola Hu-tan (KPHP/KPHL) yang telah diben-tuk dan operasional di Provinsi/ Kabupaten/Kota sudah memadai?</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 dokumen pembentukan KPH, karena belum dibentuk.</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 Ir Ishak Buhairi MM, Kepala Dinas Kehutanan dan Perkebunan yang diwawancarai tidak memberikan penjelasan memadai tentang alasan belum dibentuknya KPH di Kabuapten Aceh Tenggara. Ishak menyampaikan bahwa informasi tentang KPH juga masih relatif baru. Dishutbun baru sebulan lalu menerima informasi tentang arahan untuk pembentukan KPH. Tetapi, menurut Dishutbun, pembentukan KPH belum menjadi perioritas utama karena saat ini pemerintah daerah dalam hal ini Dishutbun sedang berfokus untuk memperluas area APL sehingga masyarakat dapat memperluas area usaha mereka dalam mengembangkan pertanian. </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br/>
              <w:t xml:space="preserve">Kabid Perlindungan Hutan Azanuddin Kurnia membenarkan tentang  arahan untuk pembentukan KPH baru sebulan lalu diterima Dinas Kehutanan dan Perkebunan Aceh Tenggara, lagi pula saat ini fokus pemerintah kabupaten lebih fokus ke usaha perluasan kawasan. </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br/>
              <w:t xml:space="preserve">Saat ini area APL di Aceh Tenggara sebesar 11 persen, dan dalam RTRWK yang baru diperluas menjadi sekitar 14 persen. Kita tidak bisa berbuat banyak ketika masyarakat merambah hutan. Pertama karena ketidak-jelasan tapal batas, yang kedua karena memang </w:t>
            </w:r>
            <w:r w:rsidRPr="00401428">
              <w:rPr>
                <w:rFonts w:ascii="Times New Roman" w:eastAsia="Times New Roman" w:hAnsi="Times New Roman" w:cs="Times New Roman"/>
                <w:color w:val="000000"/>
                <w:sz w:val="20"/>
                <w:szCs w:val="20"/>
                <w:lang w:eastAsia="id-ID"/>
              </w:rPr>
              <w:lastRenderedPageBreak/>
              <w:t xml:space="preserve">masyarakat kita pada posisi yang sangat terdesak akibat pertumbuhan penduduk dan penyempitan lahan. Pemerintah yang  ingin menerbitkan kebijakan populis memang harus hati-hati dalam membicarakan isu lahan dan tapal batas. Karena isu-isu seperti ini resiko sosialnya lebih mahal.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1</w:t>
            </w: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401428" w:rsidRPr="00401428" w:rsidTr="00401428">
        <w:trPr>
          <w:trHeight w:val="2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63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BIVc1</w:t>
            </w:r>
          </w:p>
        </w:tc>
        <w:tc>
          <w:tcPr>
            <w:tcW w:w="1111"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 saja dasar pertimbangan yang digunakan dalam pemberian izin</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Kehutanan</w:t>
            </w:r>
          </w:p>
        </w:tc>
        <w:tc>
          <w:tcPr>
            <w:tcW w:w="1696" w:type="dxa"/>
            <w:tcBorders>
              <w:top w:val="nil"/>
              <w:left w:val="nil"/>
              <w:bottom w:val="single" w:sz="4" w:space="0" w:color="auto"/>
              <w:right w:val="single" w:sz="4" w:space="0" w:color="auto"/>
            </w:tcBorders>
            <w:shd w:val="clear" w:color="000000" w:fill="000000"/>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menerbitkan izin untuk pertambangan, perkebunan sawit atau lahan perkebunan untuk persahaan.</w:t>
            </w:r>
          </w:p>
        </w:tc>
        <w:tc>
          <w:tcPr>
            <w:tcW w:w="1139" w:type="dxa"/>
            <w:tcBorders>
              <w:top w:val="nil"/>
              <w:left w:val="nil"/>
              <w:bottom w:val="single" w:sz="4" w:space="0" w:color="auto"/>
              <w:right w:val="single" w:sz="4" w:space="0" w:color="auto"/>
            </w:tcBorders>
            <w:shd w:val="clear" w:color="000000" w:fill="000000"/>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2</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24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Indikator C tentang tingkat pemahaman para pembuat izin, tidak mendapatkan penjelasan memadai kerana pemerintah daerah mengau tidak pernah menerbitkan izin pemanfaatan lahan kepada perusahaan untuk perkebunan, kehutanan maupun pertambangan.  Menurut Ishak Buhairi, sampai hari ini pemerintah daerah Aceh Tenggara tidak pernah sekalipun menerbitkan izin penebangan hutan. Memang diakui ada masyarakat yang secara individul melakukan penebangan kayu, tapi satu dua tang, hanya untuk kebutuhan membuat tangga rumah atau bangun mesjid.  Dalam dua tahun terakhir, tidak satu pun lembar surat dikeluarkan untuk perizinan penebangan kayu di hutan. </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br/>
              <w:t xml:space="preserve">Kalau dibidang perkebunan, pemerintah daerah dalam beberapa tahun terakhir telah membagikan bibit kakao atau coklat. Luas kakao di Aceh Tenggara sekitar 17-18 ribu hektar, yang menyebar di lahan-lahan warga.  Itu semua dibagikan ke masyarakat. Termasuk masyarakat di kawasan hutan lindung. Itu dilakukan untuk mengurangi penebangan hutan, agar masyarakat sekitar mengalihkan sumber-sumber ekonomi mereka dari yang bergantung dengan hutan menjadi hilang ketergantungannya dengan hutan. </w:t>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br/>
            </w:r>
            <w:r w:rsidRPr="00401428">
              <w:rPr>
                <w:rFonts w:ascii="Times New Roman" w:eastAsia="Times New Roman" w:hAnsi="Times New Roman" w:cs="Times New Roman"/>
                <w:color w:val="000000"/>
                <w:sz w:val="20"/>
                <w:szCs w:val="20"/>
                <w:lang w:eastAsia="id-ID"/>
              </w:rPr>
              <w:lastRenderedPageBreak/>
              <w:t xml:space="preserve">Itu juga dilakukan dalam rangka mendorong masyarakat melakukan reboisasi. Karena kalau program reboisasi dilakukan dengan tanaman yang tidak menghasilkan, masyarakat tidak tertarik dengan program reboisasi. Tetapi kalau dengan tanaman yang menghasilkan seperti karet, rambutan, kakao, mangga, duku, dan sejenisnya, maka program reboisasi dapat berjalan. Karena itu, kakaou dibagian juga pada masyarakat di sekitar hutan lindung.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2</w:t>
            </w: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Isu dalam PGA REDD+</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821"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V. Pengendalian dan Penegakan Hukum  </w:t>
            </w: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2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a. Jumlah unit pengelola hutan (KPH) yang menerapkan sistem pengendalian  internal  </w:t>
            </w:r>
          </w:p>
        </w:tc>
      </w:tr>
      <w:tr w:rsidR="00401428" w:rsidRPr="00401428" w:rsidTr="00401428">
        <w:trPr>
          <w:trHeight w:val="2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821"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Pimpinan KPH Provinsi/Kabupaten </w:t>
            </w: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BVa1</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Kinerja KPH dalam penerapan sistem pengendalian internal</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 pendapat Anda mengenai Kinerja KPH dalam menerapkan sistem pengendalian internal?</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KPH</w:t>
            </w:r>
          </w:p>
        </w:tc>
        <w:tc>
          <w:tcPr>
            <w:tcW w:w="6344"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w:t>
            </w:r>
          </w:p>
        </w:tc>
      </w:tr>
      <w:tr w:rsidR="00401428" w:rsidRPr="00401428" w:rsidTr="00401428">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BVa2</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Mekanisme Kerja KPH yang me-nerapkan sistem pengenda-lian internal sudah mengadopsi prinsip -prinsip good governance (6 prinsip)</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Mekanisme Kerja KPH yang menerapkan sistem pengen-dalian internal sudah mengadopsi prinsip-prinsip good governance (6 prinsip)?</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KPH</w:t>
            </w:r>
          </w:p>
        </w:tc>
        <w:tc>
          <w:tcPr>
            <w:tcW w:w="6344" w:type="dxa"/>
            <w:gridSpan w:val="4"/>
            <w:vMerge/>
            <w:tcBorders>
              <w:top w:val="nil"/>
              <w:left w:val="nil"/>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11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125"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696"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300"/>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b. Jumlah polisi yang memadai dan memiliki kualifikasi memadai di bidang kehutanan dan lingkungan</w:t>
            </w:r>
          </w:p>
        </w:tc>
      </w:tr>
      <w:tr w:rsidR="00401428" w:rsidRPr="00401428" w:rsidTr="00401428">
        <w:trPr>
          <w:trHeight w:val="34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821"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Bagian kepegawaian Polda/Polres/Polresta</w:t>
            </w: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255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BVb1</w:t>
            </w:r>
          </w:p>
        </w:tc>
        <w:tc>
          <w:tcPr>
            <w:tcW w:w="111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591" w:type="dxa"/>
            <w:tcBorders>
              <w:top w:val="nil"/>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1125"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Polres</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didapatkan dokumen yang relevan</w:t>
            </w:r>
          </w:p>
        </w:tc>
        <w:tc>
          <w:tcPr>
            <w:tcW w:w="1139"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Di kepolisian sudah ada unit yang khusus untuk menangani masalah kehutanan. Namanya unit Tindak Pidana Tertantu, di dalamnya antara lain mengurusi masalah lingkungan, pelanggaran hukum di bidang kehutanan.  Jumlah itu sudah cukup memadai, karena selama ini kasus-kasus di bidang kehutanan juga tidak begitu banyak. Yang tanggung-jawab khusus tentang masalah kehutanan ini kan pemerintah daerah. Kita lihat pelalatan yang dimiliki di dinas kehutanan itu masih sangat terbatas. SDM juga masih sangat kurang. Dishutbun itu masih belum banyak yang dilakukan.</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BVb2</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Sertifikat/Bukti Keikutsertaan pelatihan</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1125"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Polres</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didapatkan dokumen yang relevan</w:t>
            </w:r>
          </w:p>
        </w:tc>
        <w:tc>
          <w:tcPr>
            <w:tcW w:w="1139"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Tenaga-tenaga yang ada di situ sudah pelatihan, belum semua  anggota, tapi ada tiga orang yang sudah ikut pelatihan. Nama pelatihannya, pelatihan penyidikan Tindak Pidana Kehutanan.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BVb3</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Pengalaman kerja dalam bidang yang terkait pidana kehutanan dan lingkungan</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1125"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Polres</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didapatkan dokumen yang relevan</w:t>
            </w:r>
          </w:p>
        </w:tc>
        <w:tc>
          <w:tcPr>
            <w:tcW w:w="1139"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Pengamalan mereka cukup memadai, sudah lama ditempatkan di unit tersebut.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28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6087" w:type="dxa"/>
            <w:gridSpan w:val="4"/>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c. Jumlah jaksa yang memadai dan memiliki kualifikasi memadai </w:t>
            </w:r>
            <w:r w:rsidRPr="00401428">
              <w:rPr>
                <w:rFonts w:ascii="Times New Roman" w:eastAsia="Times New Roman" w:hAnsi="Times New Roman" w:cs="Times New Roman"/>
                <w:b/>
                <w:bCs/>
                <w:color w:val="000000"/>
                <w:sz w:val="20"/>
                <w:szCs w:val="20"/>
                <w:lang w:eastAsia="id-ID"/>
              </w:rPr>
              <w:lastRenderedPageBreak/>
              <w:t>di bidang kehutanan dan lingkungan</w:t>
            </w: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270"/>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lastRenderedPageBreak/>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821"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Bagian kepegawaian Kejati/Kejari</w:t>
            </w: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BVc1</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Jumlah jaksa yang memiliki kua-lifikasi memadai di bidang kehutanan dan lingkungan </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jaksa yang memiliki kualifi-kasi memadai di bidang kehutanan dan lingkungan jumlahnya mema-dai?</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Kejari</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didapatkan dokumen yang relevan</w:t>
            </w:r>
          </w:p>
        </w:tc>
        <w:tc>
          <w:tcPr>
            <w:tcW w:w="1139"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Saya sendiri belum pernah. Tapi kalau kita di kejaksaan itu kita memang ada pelatihan untuk jaksa-jaksa di sini. Pelatihan ini tetap kita perlukan, dan kita memang membutuhkan pelatihan tersebut.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BVc2</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Sertifikat/Bukti Keikutsertaan pelatihan</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jaksa yang bertugas dalam penegakan hukum bidang kehutanan dan lingkungan hidup memiliki Sertifikat atau Bukti Keikutsertaan pelatihan?</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Kejari</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didapatkan dokumen yang relevan</w:t>
            </w:r>
          </w:p>
        </w:tc>
        <w:tc>
          <w:tcPr>
            <w:tcW w:w="1139"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Tetapi selama ini kuota untuk pelatihan yang seperti itu kan terbatas, kita berharap pelatihan nanti lebih banyak dilakukan untuk meningkatkan kualitas jaksa kita.</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BVc3</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Pengalaman kerja dalam bidang yang terkait pidana kehutanan dan lingkungan</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pengalaman kerja jaksa yang bertugas dalam bidang yang terkait pidana kehutanan dan lingkungan memadai?</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Kejari</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didapatkan dokumen yang relevan</w:t>
            </w:r>
          </w:p>
        </w:tc>
        <w:tc>
          <w:tcPr>
            <w:tcW w:w="1139"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Meskipun jaksa sering dipindah tugaskan, yang di sini memiliki pengalaman memadai untuk penanganan kasus-kasus dibidang kehutanan</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300"/>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6087" w:type="dxa"/>
            <w:gridSpan w:val="4"/>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300"/>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3960" w:type="dxa"/>
            <w:gridSpan w:val="3"/>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Bagian kepegawaian Pengadilan Tinggi/Pengadilan Negeri</w:t>
            </w:r>
          </w:p>
        </w:tc>
        <w:tc>
          <w:tcPr>
            <w:tcW w:w="2127"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BVd1</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Jumlah hakim yang memiliki kualifikasi memadai di bidang kehutanan dan lingkungan </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hakim yang memiliki kuali-fikasi memadai di bidang kehutan-an dan lingkungan jumlahnya me-madai?</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Pengadilan Negeri</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didapatkan dokumen yang relevan</w:t>
            </w:r>
          </w:p>
        </w:tc>
        <w:tc>
          <w:tcPr>
            <w:tcW w:w="1139"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Hakim-hakim di Pengadilan Negeri di sini ada yang senior dan ada yang Yunior. Biasanya para hakim memang mendapatkan pelatihan termasuk dalam penanganan kasus hukum di bidang kehutaan. Jumlahnya cukup memadai untuk ukuran Aceh Tenggara, karena kasus-kaus di bidang kehutanan tidak </w:t>
            </w:r>
            <w:r w:rsidRPr="00401428">
              <w:rPr>
                <w:rFonts w:ascii="Times New Roman" w:eastAsia="Times New Roman" w:hAnsi="Times New Roman" w:cs="Times New Roman"/>
                <w:color w:val="000000"/>
                <w:sz w:val="20"/>
                <w:szCs w:val="20"/>
                <w:lang w:eastAsia="id-ID"/>
              </w:rPr>
              <w:lastRenderedPageBreak/>
              <w:t>tergolong banyak.</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3</w:t>
            </w:r>
          </w:p>
        </w:tc>
      </w:tr>
      <w:tr w:rsidR="00401428" w:rsidRPr="00401428" w:rsidTr="00401428">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BVd2</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Sertifikat/Bukti Keikutsertaan pelatihan</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hakim yang bertugas dalam penegakan hukum bidang kehutanan dan lingkungan hidup memiliki Sertifikat atau Bukti Keikutsertaan pelatihan?</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Pengadilan Negeri</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didapatkan dokumen yang relevan</w:t>
            </w:r>
          </w:p>
        </w:tc>
        <w:tc>
          <w:tcPr>
            <w:tcW w:w="1139"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Sebagian memiliki, tapi sebagian yang lain tidak memiliki sertfikat.</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BVd3</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Pengalaman kerja dalam bidang yang terkait pidana kehutanan dan lingkungan</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Pengadilan Negeri</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didapatkan dokumen yang relevan</w:t>
            </w:r>
          </w:p>
        </w:tc>
        <w:tc>
          <w:tcPr>
            <w:tcW w:w="1139"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Pengalaman kerja memadai, karena hakim ini kan di pindah-pindah dari suatu tempat ke tempat lain, sehingga mereka memiliki pengalaman menangani kasus dari daerah yang beragam, termasuk dalam menangani isu-isu di bidang kehutanan.  </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3</w:t>
            </w: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330"/>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401428" w:rsidRPr="00401428" w:rsidTr="00401428">
        <w:trPr>
          <w:trHeight w:val="330"/>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821" w:type="dxa"/>
            <w:gridSpan w:val="2"/>
            <w:tcBorders>
              <w:top w:val="nil"/>
              <w:left w:val="nil"/>
              <w:bottom w:val="nil"/>
              <w:right w:val="nil"/>
            </w:tcBorders>
            <w:shd w:val="clear" w:color="auto" w:fill="auto"/>
            <w:noWrap/>
            <w:vAlign w:val="center"/>
            <w:hideMark/>
          </w:tcPr>
          <w:p w:rsidR="00401428" w:rsidRPr="00401428" w:rsidRDefault="00401428" w:rsidP="00401428">
            <w:pPr>
              <w:spacing w:after="24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Unit reskrim Polda, Unit reskrim Polres/Polresta</w:t>
            </w: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459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BVe1</w:t>
            </w:r>
          </w:p>
        </w:tc>
        <w:tc>
          <w:tcPr>
            <w:tcW w:w="1111" w:type="dxa"/>
            <w:vMerge w:val="restart"/>
            <w:tcBorders>
              <w:top w:val="nil"/>
              <w:left w:val="single" w:sz="4" w:space="0" w:color="auto"/>
              <w:bottom w:val="single" w:sz="4" w:space="0" w:color="000000"/>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591" w:type="dxa"/>
            <w:vMerge w:val="restart"/>
            <w:tcBorders>
              <w:top w:val="nil"/>
              <w:left w:val="single" w:sz="4" w:space="0" w:color="auto"/>
              <w:bottom w:val="single" w:sz="4" w:space="0" w:color="000000"/>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jumlah kasus perkara pidana kehutanan/lingkungan yang diserahkan oleh Kepolisian ke kejaksaan dalam lima tahun terakhir sudah memadai?</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Kejari</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Data kasus pelanggaran di bidang kehutanan di dapatkan dari kokumentasi rekapitulasi kasus di Kejaksaan Negeri Langsa selama 2009, 2010, 2011 dan 2012. Berdasarkan data ini ditemukan bahwa  jumlah kasus pelanggaran di bidang kehutanan: tahun 2009 (1 perkara), 2010 (6 perkara), 2011 (8 perkara), 2012 (5 perkara).  </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2</w:t>
            </w: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Jumlah kasus pelanggaran di bidang kehutanan: tahun 2009 (1 perkara), 2010 (6 perkara), 2011 (8 perkara), 2012 (5 perkara).  Tadi kita baru mendapat limpahan satu kasus ilegal loging, ada barang bukti satu truk kayu. Plat Merah mobilnya, tapi kita belum tahu itu apa artinya, tapi saya kira itu orang makai mobil yang palt merah secera kebetulan saja. Kasus-kasus masih sebatas yang mengangkut atau membawa kayu  saja, pelaku belum terjerat. Tapi itu kan tergantung </w:t>
            </w:r>
            <w:r w:rsidRPr="00401428">
              <w:rPr>
                <w:rFonts w:ascii="Times New Roman" w:eastAsia="Times New Roman" w:hAnsi="Times New Roman" w:cs="Times New Roman"/>
                <w:color w:val="000000"/>
                <w:sz w:val="20"/>
                <w:szCs w:val="20"/>
                <w:lang w:eastAsia="id-ID"/>
              </w:rPr>
              <w:lastRenderedPageBreak/>
              <w:t>sama yang dikepolisian, kita hanya menerima kasus yang dari kepolisian. Kasus-kasus tersebut semua berkaitan dengan ilegal loging. Nilai kasusnya pun kecil-kecil, yakni sebagian besar masyarakat yang tertangkap membawa kayu pakai becak atau satu pick- up, yang isinya kayu yang ditebang darihutan. Tidak ada kasus besar yang ditangai, yang terkait dengan kehutanan. Tidak ada kasus korupsi yang melibatkan pejabat. Dulu pernah ada anak pejabat yang terlibat kasus ilegal loging, itu lebih dari lima tahun yang lalu. Tapi karena pelakunya anak pejabat, vonisnya pun tidak begitu berat.  Kita di sini untuk memutuskan vonis tentang pelanggaran ilegal loging agak dilematik. Masyarakat yang mengambil kayu di sini kan hanya untuk kebutuhan bikin rumahnya, artinya mereka mengambil kayu secukupnya. Kalau ini juga kita vonis sampai dua tahun, juga rasa manusiawi kita cukup kasihan. Karena yang berkasus orang-orang kecil yang menjadi tulang punggung di keluarganya. Dilema kita, orang yang ngangkut kayu dihukum, tapi orang yang buka kebun, bukan kampung di kawasan lindung di sana dibiarkan saja. Bahkan pemerintah melakukan pembiaran.</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2</w:t>
            </w:r>
          </w:p>
        </w:tc>
      </w:tr>
      <w:tr w:rsidR="00401428" w:rsidRPr="00401428" w:rsidTr="00401428">
        <w:trPr>
          <w:trHeight w:val="4335"/>
        </w:trPr>
        <w:tc>
          <w:tcPr>
            <w:tcW w:w="714"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11"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Polres</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Data kasus pelanggaran di bidang kehutanan dari Polres Langsa didapatkan saat wawancara secara lisan dengan Kapolres. Saya sudah mengajukan permohonan untuk mengakses data di bidang kriminal sebagaimana diminta Pak Kapolres. Surat sudah sampai di bagian kriminal. Tetapi pada hari-hari ketika saya di lapangan, Polres sedang disibukkan dengan pengamanan demontrasi massa tentang tuntutan pilkada Ulang di Aceh Tenggara. Penundaan janji untuk ketemu belum dapat diwujudkan samapai masa di lapangan habis.</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2</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Kalau yang ada, yang kita tangkap sekitar 5 orang selama 2012 ini, tertangkap melakukan penebangan liar atau ilegal loging. Nanti untuk data lengkap silakan ambil di reskrim.  Kayu yang ditangkap paling sekitar satu truk. Kalau bicara kayu, di sini sudah habis. Sudah tidak ada kayunya. Itu ilegal loging sekitar enam tahun lalu. Kalau ilegal loging selama ini kita lihat masyarakat menabang untuk kebutuhann sendiri, untuk membuat rumah. Tetapi kalau kayu yang ditebang itu sudah di bawa ke kota, tetap kita proses. Kita tangkap dan diberlakukan sesuai hukum yang berlaku.</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2</w:t>
            </w:r>
          </w:p>
        </w:tc>
      </w:tr>
      <w:tr w:rsidR="00401428" w:rsidRPr="00401428" w:rsidTr="00401428">
        <w:trPr>
          <w:trHeight w:val="3315"/>
        </w:trPr>
        <w:tc>
          <w:tcPr>
            <w:tcW w:w="714" w:type="dxa"/>
            <w:vMerge/>
            <w:tcBorders>
              <w:top w:val="nil"/>
              <w:left w:val="single" w:sz="4" w:space="0" w:color="auto"/>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11"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vMerge/>
            <w:tcBorders>
              <w:top w:val="nil"/>
              <w:left w:val="single" w:sz="4" w:space="0" w:color="auto"/>
              <w:bottom w:val="single" w:sz="4" w:space="0" w:color="000000"/>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Pengadilan Negeri</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Pengadilan negeri tidak memiliki rekap khusus tentang jenis kasus selama tahun yang dibutuhkan. Tetapi pada saat saya datang ke kantor tersebut, pinpinan untuk yang ditemui meminta staffnya menghitung semua berkas yang berkaitan dengan kasus pelanggaran di bidang kehutanan. Hasilnya ditemukan, 2 kasus penyerobotan lahan (2009), 1 kasus ilegal loging (2010), 2 </w:t>
            </w:r>
            <w:r w:rsidRPr="00401428">
              <w:rPr>
                <w:rFonts w:ascii="Times New Roman" w:eastAsia="Times New Roman" w:hAnsi="Times New Roman" w:cs="Times New Roman"/>
                <w:color w:val="000000"/>
                <w:sz w:val="20"/>
                <w:szCs w:val="20"/>
                <w:lang w:eastAsia="id-ID"/>
              </w:rPr>
              <w:lastRenderedPageBreak/>
              <w:t>kasus ilegal loging (2010).</w:t>
            </w:r>
          </w:p>
        </w:tc>
        <w:tc>
          <w:tcPr>
            <w:tcW w:w="1139"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1</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Kaus di pengadilan negeri yang berkaitan dengan isu kehutanan didapatkan sebagaimana berikut. Ini merupakan kasus-kasus yang sudah divonis. Tahun 2009, penyerobotan tanah ada 2 kasusu. Tahun 2010, ilegal loging 1 kasus, tahun 2011, ilegal loging sebanyak 2 kasusu. (Sumber Pengadilen Negeri Langsa)</w:t>
            </w:r>
          </w:p>
        </w:tc>
        <w:tc>
          <w:tcPr>
            <w:tcW w:w="1382"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2</w:t>
            </w: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Isu dalam PGA REDD+</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821"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VI. Infrastruktur REDD+</w:t>
            </w: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270"/>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a.  Keberadaan lembaga REDD+ di Nasional dan Sub nasional</w:t>
            </w:r>
          </w:p>
        </w:tc>
      </w:tr>
      <w:tr w:rsidR="00401428" w:rsidRPr="00401428" w:rsidTr="00401428">
        <w:trPr>
          <w:trHeight w:val="300"/>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6087" w:type="dxa"/>
            <w:gridSpan w:val="4"/>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Nasional: UKP4 (Satgas REDD+)</w:t>
            </w:r>
            <w:r w:rsidRPr="00401428">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BVIa1</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Ada atau tidak adanya lembaga REDD+ di Nasional dan Sub nasional</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terdapat lembaga REDD+ di Nasional dan Sub nasional?</w:t>
            </w:r>
          </w:p>
        </w:tc>
        <w:tc>
          <w:tcPr>
            <w:tcW w:w="1125" w:type="dxa"/>
            <w:tcBorders>
              <w:top w:val="nil"/>
              <w:left w:val="nil"/>
              <w:bottom w:val="single" w:sz="4" w:space="0" w:color="auto"/>
              <w:right w:val="single" w:sz="4" w:space="0" w:color="auto"/>
            </w:tcBorders>
            <w:shd w:val="clear" w:color="000000" w:fill="F2DDDC"/>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Satgas REDD+</w:t>
            </w:r>
          </w:p>
        </w:tc>
        <w:tc>
          <w:tcPr>
            <w:tcW w:w="6344"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w:t>
            </w:r>
          </w:p>
        </w:tc>
      </w:tr>
      <w:tr w:rsidR="00401428" w:rsidRPr="00401428" w:rsidTr="00401428">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BVIa2</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dukungan peraturan ter-hadap lembaga REDD+ sudah memadai?</w:t>
            </w:r>
          </w:p>
        </w:tc>
        <w:tc>
          <w:tcPr>
            <w:tcW w:w="1125" w:type="dxa"/>
            <w:tcBorders>
              <w:top w:val="nil"/>
              <w:left w:val="nil"/>
              <w:bottom w:val="single" w:sz="4" w:space="0" w:color="auto"/>
              <w:right w:val="single" w:sz="4" w:space="0" w:color="auto"/>
            </w:tcBorders>
            <w:shd w:val="clear" w:color="000000" w:fill="F2DDDC"/>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Satgas REDD+</w:t>
            </w:r>
          </w:p>
        </w:tc>
        <w:tc>
          <w:tcPr>
            <w:tcW w:w="6344" w:type="dxa"/>
            <w:gridSpan w:val="4"/>
            <w:vMerge/>
            <w:tcBorders>
              <w:top w:val="nil"/>
              <w:left w:val="nil"/>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11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125"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696"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2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401428" w:rsidRPr="00401428" w:rsidTr="00401428">
        <w:trPr>
          <w:trHeight w:val="270"/>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single" w:sz="4" w:space="0" w:color="auto"/>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Nasional: UKP4 (Satgas REDD+)</w:t>
            </w:r>
            <w:r w:rsidRPr="00401428">
              <w:rPr>
                <w:rFonts w:ascii="Times New Roman" w:eastAsia="Times New Roman" w:hAnsi="Times New Roman" w:cs="Times New Roman"/>
                <w:b/>
                <w:bCs/>
                <w:color w:val="000000"/>
                <w:sz w:val="20"/>
                <w:szCs w:val="20"/>
                <w:lang w:eastAsia="id-ID"/>
              </w:rPr>
              <w:br/>
              <w:t xml:space="preserve">  Sub nasional: Dinas Kehutanan dan Lingkungan Hidup</w:t>
            </w: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BVIb1</w:t>
            </w:r>
          </w:p>
        </w:tc>
        <w:tc>
          <w:tcPr>
            <w:tcW w:w="111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Ada atau tidak adanya lembaga MRV di Nasional dan Sub nasional</w:t>
            </w:r>
          </w:p>
        </w:tc>
        <w:tc>
          <w:tcPr>
            <w:tcW w:w="1591" w:type="dxa"/>
            <w:tcBorders>
              <w:top w:val="nil"/>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terdapat lembaga MRV di Nasional dan Sub nasional?</w:t>
            </w:r>
          </w:p>
        </w:tc>
        <w:tc>
          <w:tcPr>
            <w:tcW w:w="1125" w:type="dxa"/>
            <w:tcBorders>
              <w:top w:val="nil"/>
              <w:left w:val="nil"/>
              <w:bottom w:val="single" w:sz="4" w:space="0" w:color="auto"/>
              <w:right w:val="single" w:sz="4" w:space="0" w:color="auto"/>
            </w:tcBorders>
            <w:shd w:val="clear" w:color="000000" w:fill="F2DDDC"/>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Satgas REDD+</w:t>
            </w:r>
          </w:p>
        </w:tc>
        <w:tc>
          <w:tcPr>
            <w:tcW w:w="6344"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w:t>
            </w:r>
          </w:p>
        </w:tc>
      </w:tr>
      <w:tr w:rsidR="00401428" w:rsidRPr="00401428" w:rsidTr="00401428">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BVIb2</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Dukungan peraturan terhadap keberadaan lembaga MRV di </w:t>
            </w:r>
            <w:r w:rsidRPr="00401428">
              <w:rPr>
                <w:rFonts w:ascii="Times New Roman" w:eastAsia="Times New Roman" w:hAnsi="Times New Roman" w:cs="Times New Roman"/>
                <w:color w:val="000000"/>
                <w:sz w:val="20"/>
                <w:szCs w:val="20"/>
                <w:lang w:eastAsia="id-ID"/>
              </w:rPr>
              <w:lastRenderedPageBreak/>
              <w:t>Nasional dan Sub-nasional</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Apakah dukungan peraturan ter-hadap lembaga MRV sudah memadai?</w:t>
            </w:r>
          </w:p>
        </w:tc>
        <w:tc>
          <w:tcPr>
            <w:tcW w:w="1125" w:type="dxa"/>
            <w:tcBorders>
              <w:top w:val="nil"/>
              <w:left w:val="nil"/>
              <w:bottom w:val="single" w:sz="4" w:space="0" w:color="auto"/>
              <w:right w:val="single" w:sz="4" w:space="0" w:color="auto"/>
            </w:tcBorders>
            <w:shd w:val="clear" w:color="000000" w:fill="F2DDDC"/>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Satgas REDD+</w:t>
            </w:r>
          </w:p>
        </w:tc>
        <w:tc>
          <w:tcPr>
            <w:tcW w:w="6344" w:type="dxa"/>
            <w:gridSpan w:val="4"/>
            <w:vMerge/>
            <w:tcBorders>
              <w:top w:val="nil"/>
              <w:left w:val="nil"/>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28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3960" w:type="dxa"/>
            <w:gridSpan w:val="3"/>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c. Keberadaan lembaga finansial di Nasional dan Sub nasional</w:t>
            </w:r>
          </w:p>
        </w:tc>
        <w:tc>
          <w:tcPr>
            <w:tcW w:w="2127"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330"/>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6087" w:type="dxa"/>
            <w:gridSpan w:val="4"/>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Nasional: UKP4 (Satgas REDD+)</w:t>
            </w:r>
            <w:r w:rsidRPr="00401428">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BVIc1</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Ada atau tidak adanya lembaga finansial di tingkat Nasional dan Sub nasional</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terdapat lembaga finansial di tingkat Nasional dan Sub nasional?</w:t>
            </w:r>
          </w:p>
        </w:tc>
        <w:tc>
          <w:tcPr>
            <w:tcW w:w="1125" w:type="dxa"/>
            <w:tcBorders>
              <w:top w:val="nil"/>
              <w:left w:val="nil"/>
              <w:bottom w:val="single" w:sz="4" w:space="0" w:color="auto"/>
              <w:right w:val="single" w:sz="4" w:space="0" w:color="auto"/>
            </w:tcBorders>
            <w:shd w:val="clear" w:color="000000" w:fill="F2DDDC"/>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Satgas REDD+</w:t>
            </w:r>
          </w:p>
        </w:tc>
        <w:tc>
          <w:tcPr>
            <w:tcW w:w="6344"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w:t>
            </w:r>
          </w:p>
        </w:tc>
      </w:tr>
      <w:tr w:rsidR="00401428" w:rsidRPr="00401428" w:rsidTr="00401428">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BVIc2</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Dukungan peraturan terhadap keberadaan lembaga finansial di tingkat Nasional dan Sub-nasional</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dukungan peraturan ter-hadap lembaga finansial sudah memadai?</w:t>
            </w:r>
          </w:p>
        </w:tc>
        <w:tc>
          <w:tcPr>
            <w:tcW w:w="1125" w:type="dxa"/>
            <w:tcBorders>
              <w:top w:val="nil"/>
              <w:left w:val="nil"/>
              <w:bottom w:val="single" w:sz="4" w:space="0" w:color="auto"/>
              <w:right w:val="single" w:sz="4" w:space="0" w:color="auto"/>
            </w:tcBorders>
            <w:shd w:val="clear" w:color="000000" w:fill="F2DDDC"/>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Satgas REDD+</w:t>
            </w:r>
          </w:p>
        </w:tc>
        <w:tc>
          <w:tcPr>
            <w:tcW w:w="6344" w:type="dxa"/>
            <w:gridSpan w:val="4"/>
            <w:vMerge/>
            <w:tcBorders>
              <w:top w:val="nil"/>
              <w:left w:val="nil"/>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6087" w:type="dxa"/>
            <w:gridSpan w:val="4"/>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34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821"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Ketua Satgas REDD+/Pokja REDD+</w:t>
            </w: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BVId1</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Jumlah SDM yang memiliki ku-alifikasi memadai dalam tata kelola bidang kehutanan dan lingkungan hidup di tingkat Nasional dan Sub-nasional</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SDM yang memiliki kuali-fikasi memadai dalam tata kelola bidang kehutanan dan lingkungan hidup di tingkat Nasional dan Sub-nasional jumlahnya memadai?</w:t>
            </w:r>
          </w:p>
        </w:tc>
        <w:tc>
          <w:tcPr>
            <w:tcW w:w="1125" w:type="dxa"/>
            <w:tcBorders>
              <w:top w:val="nil"/>
              <w:left w:val="nil"/>
              <w:bottom w:val="single" w:sz="4" w:space="0" w:color="auto"/>
              <w:right w:val="single" w:sz="4" w:space="0" w:color="auto"/>
            </w:tcBorders>
            <w:shd w:val="clear" w:color="000000" w:fill="F2DDDC"/>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Satgas REDD+</w:t>
            </w:r>
          </w:p>
        </w:tc>
        <w:tc>
          <w:tcPr>
            <w:tcW w:w="6344" w:type="dxa"/>
            <w:gridSpan w:val="4"/>
            <w:vMerge w:val="restart"/>
            <w:tcBorders>
              <w:top w:val="single" w:sz="4" w:space="0" w:color="auto"/>
              <w:left w:val="single" w:sz="4" w:space="0" w:color="auto"/>
              <w:bottom w:val="single" w:sz="4" w:space="0" w:color="000000"/>
              <w:right w:val="single" w:sz="4" w:space="0" w:color="000000"/>
            </w:tcBorders>
            <w:shd w:val="clear" w:color="000000" w:fill="F2DDDC"/>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w:t>
            </w:r>
          </w:p>
        </w:tc>
      </w:tr>
      <w:tr w:rsidR="00401428" w:rsidRPr="00401428" w:rsidTr="00401428">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BVId2</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Sertifikat/Bukti Keikutsertaan pelatihan dalam tata </w:t>
            </w:r>
            <w:r w:rsidRPr="00401428">
              <w:rPr>
                <w:rFonts w:ascii="Times New Roman" w:eastAsia="Times New Roman" w:hAnsi="Times New Roman" w:cs="Times New Roman"/>
                <w:color w:val="000000"/>
                <w:sz w:val="20"/>
                <w:szCs w:val="20"/>
                <w:lang w:eastAsia="id-ID"/>
              </w:rPr>
              <w:lastRenderedPageBreak/>
              <w:t>kelola bidang kehutanan dan ling-kungan hidup</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 xml:space="preserve">Apakah SDM memiliki Sertifikat atau Bukti Keikutsertaan pelatihan dalam </w:t>
            </w:r>
            <w:r w:rsidRPr="00401428">
              <w:rPr>
                <w:rFonts w:ascii="Times New Roman" w:eastAsia="Times New Roman" w:hAnsi="Times New Roman" w:cs="Times New Roman"/>
                <w:color w:val="000000"/>
                <w:sz w:val="20"/>
                <w:szCs w:val="20"/>
                <w:lang w:eastAsia="id-ID"/>
              </w:rPr>
              <w:lastRenderedPageBreak/>
              <w:t>tata kelola bidang kehutan-an dan lingkungan hidup?</w:t>
            </w:r>
          </w:p>
        </w:tc>
        <w:tc>
          <w:tcPr>
            <w:tcW w:w="1125" w:type="dxa"/>
            <w:tcBorders>
              <w:top w:val="nil"/>
              <w:left w:val="nil"/>
              <w:bottom w:val="single" w:sz="4" w:space="0" w:color="auto"/>
              <w:right w:val="single" w:sz="4" w:space="0" w:color="auto"/>
            </w:tcBorders>
            <w:shd w:val="clear" w:color="000000" w:fill="F2DDDC"/>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Satgas REDD+</w:t>
            </w:r>
          </w:p>
        </w:tc>
        <w:tc>
          <w:tcPr>
            <w:tcW w:w="6344" w:type="dxa"/>
            <w:gridSpan w:val="4"/>
            <w:vMerge/>
            <w:tcBorders>
              <w:top w:val="nil"/>
              <w:left w:val="nil"/>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r>
      <w:tr w:rsidR="00401428" w:rsidRPr="00401428" w:rsidTr="00401428">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lastRenderedPageBreak/>
              <w:t>BVId3</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Pengalaman kerja dalam tata kelola bidang kehutanan dan lingkungan hidup </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pengalaman kerja SDM dalam tata kelola bidang kehutan-an dan lingkungan hidup mema-dai?</w:t>
            </w:r>
          </w:p>
        </w:tc>
        <w:tc>
          <w:tcPr>
            <w:tcW w:w="1125" w:type="dxa"/>
            <w:tcBorders>
              <w:top w:val="nil"/>
              <w:left w:val="nil"/>
              <w:bottom w:val="single" w:sz="4" w:space="0" w:color="auto"/>
              <w:right w:val="single" w:sz="4" w:space="0" w:color="auto"/>
            </w:tcBorders>
            <w:shd w:val="clear" w:color="000000" w:fill="F2DDDC"/>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Satgas REDD+</w:t>
            </w:r>
          </w:p>
        </w:tc>
        <w:tc>
          <w:tcPr>
            <w:tcW w:w="6344" w:type="dxa"/>
            <w:gridSpan w:val="4"/>
            <w:vMerge/>
            <w:tcBorders>
              <w:top w:val="nil"/>
              <w:left w:val="nil"/>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401428">
              <w:rPr>
                <w:rFonts w:ascii="Times New Roman" w:eastAsia="Times New Roman" w:hAnsi="Times New Roman" w:cs="Times New Roman"/>
                <w:b/>
                <w:bCs/>
                <w:color w:val="000000"/>
                <w:sz w:val="20"/>
                <w:szCs w:val="20"/>
                <w:lang w:eastAsia="id-ID"/>
              </w:rPr>
              <w:br/>
              <w:t xml:space="preserve"> (Strategi, monitoring, lembaga)</w:t>
            </w:r>
          </w:p>
        </w:tc>
      </w:tr>
      <w:tr w:rsidR="00401428" w:rsidRPr="00401428" w:rsidTr="00401428">
        <w:trPr>
          <w:trHeight w:val="300"/>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single" w:sz="4" w:space="0" w:color="auto"/>
              <w:right w:val="nil"/>
            </w:tcBorders>
            <w:shd w:val="clear" w:color="auto" w:fill="auto"/>
            <w:vAlign w:val="center"/>
            <w:hideMark/>
          </w:tcPr>
          <w:p w:rsidR="00401428" w:rsidRPr="00401428" w:rsidRDefault="00401428" w:rsidP="00401428">
            <w:pPr>
              <w:spacing w:after="24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Nasional: Ketua Satgas REDD+</w:t>
            </w: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BVIe1</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1125" w:type="dxa"/>
            <w:tcBorders>
              <w:top w:val="nil"/>
              <w:left w:val="nil"/>
              <w:bottom w:val="single" w:sz="4" w:space="0" w:color="auto"/>
              <w:right w:val="single" w:sz="4" w:space="0" w:color="auto"/>
            </w:tcBorders>
            <w:shd w:val="clear" w:color="000000" w:fill="F2DDDC"/>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Satgas REDD+</w:t>
            </w:r>
          </w:p>
        </w:tc>
        <w:tc>
          <w:tcPr>
            <w:tcW w:w="6344" w:type="dxa"/>
            <w:gridSpan w:val="4"/>
            <w:tcBorders>
              <w:top w:val="single" w:sz="4" w:space="0" w:color="auto"/>
              <w:left w:val="nil"/>
              <w:bottom w:val="single" w:sz="4" w:space="0" w:color="auto"/>
              <w:right w:val="single" w:sz="4" w:space="0" w:color="000000"/>
            </w:tcBorders>
            <w:shd w:val="clear" w:color="000000" w:fill="F2DDDC"/>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w:t>
            </w: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40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6087" w:type="dxa"/>
            <w:gridSpan w:val="4"/>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52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single" w:sz="4" w:space="0" w:color="auto"/>
              <w:right w:val="nil"/>
            </w:tcBorders>
            <w:shd w:val="clear" w:color="auto" w:fill="auto"/>
            <w:vAlign w:val="center"/>
            <w:hideMark/>
          </w:tcPr>
          <w:p w:rsidR="00401428" w:rsidRPr="00401428" w:rsidRDefault="00401428" w:rsidP="00401428">
            <w:pPr>
              <w:spacing w:after="24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:Nasional: UKP4 (Satgas REDD+)</w:t>
            </w:r>
            <w:r w:rsidRPr="00401428">
              <w:rPr>
                <w:rFonts w:ascii="Times New Roman" w:eastAsia="Times New Roman" w:hAnsi="Times New Roman" w:cs="Times New Roman"/>
                <w:b/>
                <w:bCs/>
                <w:color w:val="000000"/>
                <w:sz w:val="20"/>
                <w:szCs w:val="20"/>
                <w:lang w:eastAsia="id-ID"/>
              </w:rPr>
              <w:br/>
              <w:t xml:space="preserve">  Sub nasional: Dinas Kehutanan dan Lingkungan Hidup</w:t>
            </w: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BVIf1</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Ada atau tidak adanya kerangka pengaman di tingkat Nasional dan Sub nasional</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terdapat kerangka pengaman di tingkat Nasional dan Sub nasional?</w:t>
            </w:r>
          </w:p>
        </w:tc>
        <w:tc>
          <w:tcPr>
            <w:tcW w:w="1125" w:type="dxa"/>
            <w:tcBorders>
              <w:top w:val="nil"/>
              <w:left w:val="nil"/>
              <w:bottom w:val="single" w:sz="4" w:space="0" w:color="auto"/>
              <w:right w:val="single" w:sz="4" w:space="0" w:color="auto"/>
            </w:tcBorders>
            <w:shd w:val="clear" w:color="000000" w:fill="F2DDDC"/>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Satgas REDD+</w:t>
            </w:r>
          </w:p>
        </w:tc>
        <w:tc>
          <w:tcPr>
            <w:tcW w:w="6344" w:type="dxa"/>
            <w:gridSpan w:val="4"/>
            <w:vMerge w:val="restart"/>
            <w:tcBorders>
              <w:top w:val="single" w:sz="4" w:space="0" w:color="auto"/>
              <w:left w:val="single" w:sz="4" w:space="0" w:color="auto"/>
              <w:bottom w:val="single" w:sz="4" w:space="0" w:color="000000"/>
              <w:right w:val="single" w:sz="4" w:space="0" w:color="000000"/>
            </w:tcBorders>
            <w:shd w:val="clear" w:color="000000" w:fill="F2DDDC"/>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w:t>
            </w:r>
          </w:p>
        </w:tc>
      </w:tr>
      <w:tr w:rsidR="00401428" w:rsidRPr="00401428" w:rsidTr="00401428">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BVIf2</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24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dukungan peraturan ter-hadap kerangka pengaman sudah memadai?</w:t>
            </w:r>
          </w:p>
        </w:tc>
        <w:tc>
          <w:tcPr>
            <w:tcW w:w="1125" w:type="dxa"/>
            <w:tcBorders>
              <w:top w:val="nil"/>
              <w:left w:val="nil"/>
              <w:bottom w:val="single" w:sz="4" w:space="0" w:color="auto"/>
              <w:right w:val="single" w:sz="4" w:space="0" w:color="auto"/>
            </w:tcBorders>
            <w:shd w:val="clear" w:color="000000" w:fill="F2DDDC"/>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Satgas REDD+</w:t>
            </w:r>
          </w:p>
        </w:tc>
        <w:tc>
          <w:tcPr>
            <w:tcW w:w="6344" w:type="dxa"/>
            <w:gridSpan w:val="4"/>
            <w:vMerge/>
            <w:tcBorders>
              <w:top w:val="nil"/>
              <w:left w:val="nil"/>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r>
      <w:tr w:rsidR="00401428" w:rsidRPr="00401428" w:rsidTr="00401428">
        <w:trPr>
          <w:trHeight w:val="255"/>
        </w:trPr>
        <w:tc>
          <w:tcPr>
            <w:tcW w:w="714"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1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591"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696"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c>
          <w:tcPr>
            <w:tcW w:w="2127" w:type="dxa"/>
            <w:tcBorders>
              <w:top w:val="nil"/>
              <w:left w:val="nil"/>
              <w:bottom w:val="nil"/>
              <w:right w:val="nil"/>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p>
        </w:tc>
      </w:tr>
      <w:tr w:rsidR="00401428" w:rsidRPr="00401428" w:rsidTr="00401428">
        <w:trPr>
          <w:trHeight w:val="690"/>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Indikator</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7469" w:type="dxa"/>
            <w:gridSpan w:val="5"/>
            <w:tcBorders>
              <w:top w:val="nil"/>
              <w:left w:val="nil"/>
              <w:bottom w:val="nil"/>
              <w:right w:val="nil"/>
            </w:tcBorders>
            <w:shd w:val="clear" w:color="auto" w:fill="auto"/>
            <w:vAlign w:val="center"/>
            <w:hideMark/>
          </w:tcPr>
          <w:p w:rsidR="00401428" w:rsidRPr="00401428" w:rsidRDefault="00401428" w:rsidP="00401428">
            <w:pPr>
              <w:spacing w:after="24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xml:space="preserve">: g. Jumlah sumberdaya manusia yang memadai dengan kualifikasi di lembaga REDD+ untuk mediasi konflik </w:t>
            </w:r>
            <w:r w:rsidRPr="00401428">
              <w:rPr>
                <w:rFonts w:ascii="Times New Roman" w:eastAsia="Times New Roman" w:hAnsi="Times New Roman" w:cs="Times New Roman"/>
                <w:b/>
                <w:bCs/>
                <w:color w:val="000000"/>
                <w:sz w:val="20"/>
                <w:szCs w:val="20"/>
                <w:lang w:eastAsia="id-ID"/>
              </w:rPr>
              <w:br/>
              <w:t xml:space="preserve">  akibat pembagian hasil REDD+</w:t>
            </w:r>
          </w:p>
        </w:tc>
      </w:tr>
      <w:tr w:rsidR="00401428" w:rsidRPr="00401428" w:rsidTr="00401428">
        <w:trPr>
          <w:trHeight w:val="255"/>
        </w:trPr>
        <w:tc>
          <w:tcPr>
            <w:tcW w:w="1825"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Wawancara - Sumber informasi</w:t>
            </w:r>
          </w:p>
        </w:tc>
        <w:tc>
          <w:tcPr>
            <w:tcW w:w="1591"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821" w:type="dxa"/>
            <w:gridSpan w:val="2"/>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 Ketua Satgas REDD+/Pokja REDD+</w:t>
            </w:r>
          </w:p>
        </w:tc>
        <w:tc>
          <w:tcPr>
            <w:tcW w:w="1139"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2127"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p>
        </w:tc>
      </w:tr>
      <w:tr w:rsidR="00401428" w:rsidRPr="00401428" w:rsidTr="00401428">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Kode</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Panduan Analisis Dokumen</w:t>
            </w:r>
          </w:p>
        </w:tc>
        <w:tc>
          <w:tcPr>
            <w:tcW w:w="1591"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Pertanyaan Wawancara</w:t>
            </w:r>
          </w:p>
        </w:tc>
        <w:tc>
          <w:tcPr>
            <w:tcW w:w="1125"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Sumber Data</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Dokumen</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Dokumen</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jc w:val="center"/>
              <w:rPr>
                <w:rFonts w:ascii="Times New Roman" w:eastAsia="Times New Roman" w:hAnsi="Times New Roman" w:cs="Times New Roman"/>
                <w:b/>
                <w:bCs/>
                <w:color w:val="000000"/>
                <w:sz w:val="20"/>
                <w:szCs w:val="20"/>
                <w:lang w:eastAsia="id-ID"/>
              </w:rPr>
            </w:pPr>
            <w:r w:rsidRPr="00401428">
              <w:rPr>
                <w:rFonts w:ascii="Times New Roman" w:eastAsia="Times New Roman" w:hAnsi="Times New Roman" w:cs="Times New Roman"/>
                <w:b/>
                <w:bCs/>
                <w:color w:val="000000"/>
                <w:sz w:val="20"/>
                <w:szCs w:val="20"/>
                <w:lang w:eastAsia="id-ID"/>
              </w:rPr>
              <w:t>Kategori Data Wawancara</w:t>
            </w:r>
          </w:p>
        </w:tc>
      </w:tr>
      <w:tr w:rsidR="00401428" w:rsidRPr="00401428" w:rsidTr="00401428">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BVIg1</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Jumlah SDM yang memadai dan memiliki kualifikasi dalam mediasi konflik pembagian hasil REDD+ di tingkat Nasional dan Sub-nasional</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SDM yang memiliki kuali-fikasi memadai dalam mediasi konflik pembagian hasil REDD+ di tingkat Nasional dan Sub-nasional jumlahnya sudah memadai?</w:t>
            </w:r>
          </w:p>
        </w:tc>
        <w:tc>
          <w:tcPr>
            <w:tcW w:w="1125"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Satgas REDD+</w:t>
            </w:r>
          </w:p>
        </w:tc>
        <w:tc>
          <w:tcPr>
            <w:tcW w:w="6344" w:type="dxa"/>
            <w:gridSpan w:val="4"/>
            <w:vMerge w:val="restart"/>
            <w:tcBorders>
              <w:top w:val="single" w:sz="4" w:space="0" w:color="auto"/>
              <w:left w:val="single" w:sz="4" w:space="0" w:color="auto"/>
              <w:bottom w:val="single" w:sz="4" w:space="0" w:color="000000"/>
              <w:right w:val="single" w:sz="4" w:space="0" w:color="000000"/>
            </w:tcBorders>
            <w:shd w:val="clear" w:color="000000" w:fill="F2DDDC"/>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Tidak ada</w:t>
            </w:r>
          </w:p>
        </w:tc>
      </w:tr>
      <w:tr w:rsidR="00401428" w:rsidRPr="00401428" w:rsidTr="00401428">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BVIg2</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Sertifikat/Bukti Keikutsertaan pelatihan mediasi konflik pembagian hasil REDD+</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1125"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Satgas REDD+</w:t>
            </w:r>
          </w:p>
        </w:tc>
        <w:tc>
          <w:tcPr>
            <w:tcW w:w="6344" w:type="dxa"/>
            <w:gridSpan w:val="4"/>
            <w:vMerge/>
            <w:tcBorders>
              <w:top w:val="nil"/>
              <w:left w:val="nil"/>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r>
      <w:tr w:rsidR="00401428" w:rsidRPr="00401428" w:rsidTr="00401428">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BVIg3</w:t>
            </w:r>
          </w:p>
        </w:tc>
        <w:tc>
          <w:tcPr>
            <w:tcW w:w="111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 xml:space="preserve">Pengalaman kerja dalam medi-asi konflik pembagian hasil REDD+ </w:t>
            </w:r>
          </w:p>
        </w:tc>
        <w:tc>
          <w:tcPr>
            <w:tcW w:w="1591" w:type="dxa"/>
            <w:tcBorders>
              <w:top w:val="nil"/>
              <w:left w:val="nil"/>
              <w:bottom w:val="single" w:sz="4" w:space="0" w:color="auto"/>
              <w:right w:val="single" w:sz="4" w:space="0" w:color="auto"/>
            </w:tcBorders>
            <w:shd w:val="clear" w:color="auto" w:fill="auto"/>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1125" w:type="dxa"/>
            <w:tcBorders>
              <w:top w:val="nil"/>
              <w:left w:val="nil"/>
              <w:bottom w:val="single" w:sz="4" w:space="0" w:color="auto"/>
              <w:right w:val="single" w:sz="4" w:space="0" w:color="auto"/>
            </w:tcBorders>
            <w:shd w:val="clear" w:color="auto" w:fill="auto"/>
            <w:noWrap/>
            <w:vAlign w:val="center"/>
            <w:hideMark/>
          </w:tcPr>
          <w:p w:rsidR="00401428" w:rsidRPr="00401428" w:rsidRDefault="00401428" w:rsidP="00401428">
            <w:pPr>
              <w:spacing w:after="0" w:line="240" w:lineRule="auto"/>
              <w:jc w:val="center"/>
              <w:rPr>
                <w:rFonts w:ascii="Times New Roman" w:eastAsia="Times New Roman" w:hAnsi="Times New Roman" w:cs="Times New Roman"/>
                <w:color w:val="000000"/>
                <w:sz w:val="20"/>
                <w:szCs w:val="20"/>
                <w:lang w:eastAsia="id-ID"/>
              </w:rPr>
            </w:pPr>
            <w:r w:rsidRPr="00401428">
              <w:rPr>
                <w:rFonts w:ascii="Times New Roman" w:eastAsia="Times New Roman" w:hAnsi="Times New Roman" w:cs="Times New Roman"/>
                <w:color w:val="000000"/>
                <w:sz w:val="20"/>
                <w:szCs w:val="20"/>
                <w:lang w:eastAsia="id-ID"/>
              </w:rPr>
              <w:t>Satgas REDD+</w:t>
            </w:r>
          </w:p>
        </w:tc>
        <w:tc>
          <w:tcPr>
            <w:tcW w:w="6344" w:type="dxa"/>
            <w:gridSpan w:val="4"/>
            <w:vMerge/>
            <w:tcBorders>
              <w:top w:val="nil"/>
              <w:left w:val="nil"/>
              <w:bottom w:val="single" w:sz="4" w:space="0" w:color="auto"/>
              <w:right w:val="single" w:sz="4" w:space="0" w:color="auto"/>
            </w:tcBorders>
            <w:vAlign w:val="center"/>
            <w:hideMark/>
          </w:tcPr>
          <w:p w:rsidR="00401428" w:rsidRPr="00401428" w:rsidRDefault="00401428" w:rsidP="00401428">
            <w:pPr>
              <w:spacing w:after="0" w:line="240" w:lineRule="auto"/>
              <w:rPr>
                <w:rFonts w:ascii="Times New Roman" w:eastAsia="Times New Roman" w:hAnsi="Times New Roman" w:cs="Times New Roman"/>
                <w:color w:val="000000"/>
                <w:sz w:val="20"/>
                <w:szCs w:val="20"/>
                <w:lang w:eastAsia="id-ID"/>
              </w:rPr>
            </w:pPr>
          </w:p>
        </w:tc>
      </w:tr>
    </w:tbl>
    <w:p w:rsidR="00401428" w:rsidRDefault="00401428"/>
    <w:sectPr w:rsidR="00401428"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01428"/>
    <w:rsid w:val="004165D1"/>
    <w:rsid w:val="006E5970"/>
    <w:rsid w:val="009F3E98"/>
    <w:rsid w:val="00A36C0A"/>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1">
    <w:name w:val="xl111"/>
    <w:basedOn w:val="Normal"/>
    <w:rsid w:val="00401428"/>
    <w:pPr>
      <w:pBdr>
        <w:left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2">
    <w:name w:val="xl112"/>
    <w:basedOn w:val="Normal"/>
    <w:rsid w:val="00401428"/>
    <w:pP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3">
    <w:name w:val="xl113"/>
    <w:basedOn w:val="Normal"/>
    <w:rsid w:val="00401428"/>
    <w:pPr>
      <w:pBdr>
        <w:right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4">
    <w:name w:val="xl114"/>
    <w:basedOn w:val="Normal"/>
    <w:rsid w:val="00401428"/>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5">
    <w:name w:val="xl115"/>
    <w:basedOn w:val="Normal"/>
    <w:rsid w:val="00401428"/>
    <w:pPr>
      <w:pBdr>
        <w:top w:val="single" w:sz="4" w:space="0" w:color="auto"/>
        <w:bottom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6">
    <w:name w:val="xl116"/>
    <w:basedOn w:val="Normal"/>
    <w:rsid w:val="00401428"/>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117">
    <w:name w:val="xl117"/>
    <w:basedOn w:val="Normal"/>
    <w:rsid w:val="0040142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118">
    <w:name w:val="xl118"/>
    <w:basedOn w:val="Normal"/>
    <w:rsid w:val="0040142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119">
    <w:name w:val="xl119"/>
    <w:basedOn w:val="Normal"/>
    <w:rsid w:val="0040142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120">
    <w:name w:val="xl120"/>
    <w:basedOn w:val="Normal"/>
    <w:rsid w:val="0040142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21">
    <w:name w:val="xl121"/>
    <w:basedOn w:val="Normal"/>
    <w:rsid w:val="00401428"/>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22">
    <w:name w:val="xl122"/>
    <w:basedOn w:val="Normal"/>
    <w:rsid w:val="0040142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23">
    <w:name w:val="xl123"/>
    <w:basedOn w:val="Normal"/>
    <w:rsid w:val="0040142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4">
    <w:name w:val="xl124"/>
    <w:basedOn w:val="Normal"/>
    <w:rsid w:val="00401428"/>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5">
    <w:name w:val="xl125"/>
    <w:basedOn w:val="Normal"/>
    <w:rsid w:val="00401428"/>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386416624">
      <w:bodyDiv w:val="1"/>
      <w:marLeft w:val="0"/>
      <w:marRight w:val="0"/>
      <w:marTop w:val="0"/>
      <w:marBottom w:val="0"/>
      <w:divBdr>
        <w:top w:val="none" w:sz="0" w:space="0" w:color="auto"/>
        <w:left w:val="none" w:sz="0" w:space="0" w:color="auto"/>
        <w:bottom w:val="none" w:sz="0" w:space="0" w:color="auto"/>
        <w:right w:val="none" w:sz="0" w:space="0" w:color="auto"/>
      </w:divBdr>
    </w:div>
    <w:div w:id="86232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36</Pages>
  <Words>8067</Words>
  <Characters>45984</Characters>
  <Application>Microsoft Office Word</Application>
  <DocSecurity>0</DocSecurity>
  <Lines>383</Lines>
  <Paragraphs>107</Paragraphs>
  <ScaleCrop>false</ScaleCrop>
  <Company/>
  <LinksUpToDate>false</LinksUpToDate>
  <CharactersWithSpaces>53944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2012-10-16T03:33:00Z</dcterms:modified>
</cp:coreProperties>
</file>